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52F" w:rsidRPr="002F036B" w:rsidRDefault="009C152F" w:rsidP="002F036B">
      <w:pPr>
        <w:spacing w:line="360" w:lineRule="auto"/>
        <w:rPr>
          <w:rFonts w:ascii="Arial" w:hAnsi="Arial" w:cs="Arial"/>
          <w:sz w:val="24"/>
          <w:szCs w:val="24"/>
        </w:rPr>
      </w:pPr>
    </w:p>
    <w:p w:rsidR="009C152F" w:rsidRPr="002F036B" w:rsidRDefault="009C152F" w:rsidP="002F036B">
      <w:pPr>
        <w:pStyle w:val="Listenabsatz"/>
        <w:spacing w:line="360" w:lineRule="auto"/>
        <w:rPr>
          <w:rFonts w:ascii="Arial" w:hAnsi="Arial" w:cs="Arial"/>
          <w:sz w:val="24"/>
          <w:szCs w:val="24"/>
          <w:u w:val="single"/>
        </w:rPr>
      </w:pPr>
      <w:r w:rsidRPr="002F036B">
        <w:rPr>
          <w:rFonts w:ascii="Arial" w:hAnsi="Arial" w:cs="Arial"/>
          <w:sz w:val="24"/>
          <w:szCs w:val="24"/>
          <w:u w:val="single"/>
        </w:rPr>
        <w:t>Vorbemerkung der Fragesteller</w:t>
      </w:r>
    </w:p>
    <w:p w:rsidR="009C152F" w:rsidRPr="002F036B" w:rsidRDefault="009C152F" w:rsidP="002F036B">
      <w:pPr>
        <w:pStyle w:val="Listenabsatz"/>
        <w:spacing w:line="360" w:lineRule="auto"/>
        <w:rPr>
          <w:rFonts w:ascii="Arial" w:hAnsi="Arial" w:cs="Arial"/>
          <w:sz w:val="24"/>
          <w:szCs w:val="24"/>
        </w:rPr>
      </w:pPr>
    </w:p>
    <w:p w:rsidR="002F036B" w:rsidRPr="002F036B" w:rsidRDefault="009C152F" w:rsidP="002F036B">
      <w:pPr>
        <w:spacing w:line="360" w:lineRule="auto"/>
        <w:rPr>
          <w:rFonts w:ascii="Arial" w:hAnsi="Arial" w:cs="Arial"/>
          <w:sz w:val="24"/>
          <w:szCs w:val="24"/>
        </w:rPr>
      </w:pPr>
      <w:r w:rsidRPr="002F036B">
        <w:rPr>
          <w:rFonts w:ascii="Arial" w:hAnsi="Arial" w:cs="Arial"/>
          <w:sz w:val="24"/>
          <w:szCs w:val="24"/>
        </w:rPr>
        <w:t xml:space="preserve">Das Bundesverfassungsgericht hat die 1999 geltende </w:t>
      </w:r>
      <w:proofErr w:type="spellStart"/>
      <w:r w:rsidRPr="002F036B">
        <w:rPr>
          <w:rFonts w:ascii="Arial" w:hAnsi="Arial" w:cs="Arial"/>
          <w:sz w:val="24"/>
          <w:szCs w:val="24"/>
        </w:rPr>
        <w:t>Hennenhaltungsvero</w:t>
      </w:r>
      <w:r w:rsidR="002F036B">
        <w:rPr>
          <w:rFonts w:ascii="Arial" w:hAnsi="Arial" w:cs="Arial"/>
          <w:sz w:val="24"/>
          <w:szCs w:val="24"/>
        </w:rPr>
        <w:t>rdnung</w:t>
      </w:r>
      <w:proofErr w:type="spellEnd"/>
      <w:r w:rsidRPr="002F036B">
        <w:rPr>
          <w:rFonts w:ascii="Arial" w:hAnsi="Arial" w:cs="Arial"/>
          <w:sz w:val="24"/>
          <w:szCs w:val="24"/>
        </w:rPr>
        <w:t xml:space="preserve"> mit Urteil vom 6. Juli 1999 (BVerfGE 101, 1) für nichtig erklärt. § 2 Abs. 1 Nr. 2 Satz 1 und Nr. 7 Satz 1 Halbsatz 1 HHVO sei mit § 2a Abs. 1 des Tierschutzgesetzes (TierSchG) unvereinbar. Damit sei § 2 Abs. 1 und Abs. 2 HHVO, der die Anforderungen an Käfige regle, insgesamt nichtig.  </w:t>
      </w:r>
    </w:p>
    <w:p w:rsidR="00644337" w:rsidRDefault="009C152F" w:rsidP="00644337">
      <w:pPr>
        <w:spacing w:line="360" w:lineRule="auto"/>
        <w:rPr>
          <w:rFonts w:ascii="Arial" w:hAnsi="Arial" w:cs="Arial"/>
          <w:sz w:val="24"/>
          <w:szCs w:val="24"/>
        </w:rPr>
      </w:pPr>
      <w:r w:rsidRPr="002F036B">
        <w:rPr>
          <w:rFonts w:ascii="Arial" w:hAnsi="Arial" w:cs="Arial"/>
          <w:sz w:val="24"/>
          <w:szCs w:val="24"/>
        </w:rPr>
        <w:t>In diesem Zusammenhang trat am 3. August 1999 die Richtlinie 1999/74/EG des Rates vom 19. Juli 1999 zur Festlegung von Mindestanforderungen zum Schutz von Legehennen in Kraft (</w:t>
      </w:r>
      <w:proofErr w:type="spellStart"/>
      <w:r w:rsidRPr="002F036B">
        <w:rPr>
          <w:rFonts w:ascii="Arial" w:hAnsi="Arial" w:cs="Arial"/>
          <w:sz w:val="24"/>
          <w:szCs w:val="24"/>
        </w:rPr>
        <w:t>ABl</w:t>
      </w:r>
      <w:proofErr w:type="spellEnd"/>
      <w:r w:rsidRPr="002F036B">
        <w:rPr>
          <w:rFonts w:ascii="Arial" w:hAnsi="Arial" w:cs="Arial"/>
          <w:sz w:val="24"/>
          <w:szCs w:val="24"/>
        </w:rPr>
        <w:t xml:space="preserve"> Nr. L 203 vom 3. August 1999, S. 53). Die Haltung von Legehennen in herkömmlichen Käfigen war nach Art. 5 Abs. 2 der Richtlinie bis zum 31. Dezember 2011 zulässig. Unter anderem zur Umsetzung dieser Richtlinie wurde am 28. Februar 2002 die Erste Verordnung zur Änderung der Tierschutz-Nutztierhaltungsverordnung (</w:t>
      </w:r>
      <w:proofErr w:type="spellStart"/>
      <w:r w:rsidRPr="002F036B">
        <w:rPr>
          <w:rFonts w:ascii="Arial" w:hAnsi="Arial" w:cs="Arial"/>
          <w:sz w:val="24"/>
          <w:szCs w:val="24"/>
        </w:rPr>
        <w:t>BGBl</w:t>
      </w:r>
      <w:proofErr w:type="spellEnd"/>
      <w:r w:rsidRPr="002F036B">
        <w:rPr>
          <w:rFonts w:ascii="Arial" w:hAnsi="Arial" w:cs="Arial"/>
          <w:sz w:val="24"/>
          <w:szCs w:val="24"/>
        </w:rPr>
        <w:t xml:space="preserve"> I S. 1026) erlassen, die einen die Anforderungen an das Halten von Legehennen regelnden Abschnitt 3 in die Tierschutz-Nutztierhaltungsverordnung (</w:t>
      </w:r>
      <w:proofErr w:type="spellStart"/>
      <w:r w:rsidRPr="002F036B">
        <w:rPr>
          <w:rFonts w:ascii="Arial" w:hAnsi="Arial" w:cs="Arial"/>
          <w:sz w:val="24"/>
          <w:szCs w:val="24"/>
        </w:rPr>
        <w:t>TierSchNutztV</w:t>
      </w:r>
      <w:proofErr w:type="spellEnd"/>
      <w:r w:rsidRPr="002F036B">
        <w:rPr>
          <w:rFonts w:ascii="Arial" w:hAnsi="Arial" w:cs="Arial"/>
          <w:sz w:val="24"/>
          <w:szCs w:val="24"/>
        </w:rPr>
        <w:t>) vom 25. Oktober 2001 (</w:t>
      </w:r>
      <w:proofErr w:type="spellStart"/>
      <w:r w:rsidRPr="002F036B">
        <w:rPr>
          <w:rFonts w:ascii="Arial" w:hAnsi="Arial" w:cs="Arial"/>
          <w:sz w:val="24"/>
          <w:szCs w:val="24"/>
        </w:rPr>
        <w:t>BGBl</w:t>
      </w:r>
      <w:proofErr w:type="spellEnd"/>
      <w:r w:rsidRPr="002F036B">
        <w:rPr>
          <w:rFonts w:ascii="Arial" w:hAnsi="Arial" w:cs="Arial"/>
          <w:sz w:val="24"/>
          <w:szCs w:val="24"/>
        </w:rPr>
        <w:t xml:space="preserve"> I S. 2758) einfügte. Die herkömmliche Käfighaltung sollte demnach ab 1. Januar 2007 verboten sein. Durch die Zweite Verordnung zur Änderung der Tierschutz-Nutztierhaltungsverordnung vom 1. August 2006 (</w:t>
      </w:r>
      <w:proofErr w:type="spellStart"/>
      <w:r w:rsidRPr="002F036B">
        <w:rPr>
          <w:rFonts w:ascii="Arial" w:hAnsi="Arial" w:cs="Arial"/>
          <w:sz w:val="24"/>
          <w:szCs w:val="24"/>
        </w:rPr>
        <w:t>BGBl</w:t>
      </w:r>
      <w:proofErr w:type="spellEnd"/>
      <w:r w:rsidRPr="002F036B">
        <w:rPr>
          <w:rFonts w:ascii="Arial" w:hAnsi="Arial" w:cs="Arial"/>
          <w:sz w:val="24"/>
          <w:szCs w:val="24"/>
        </w:rPr>
        <w:t xml:space="preserve"> I S. 1804) wurde die Laufzeit für herkömmliche Käfiganlagen unter bestimmten Voraussetzungen bis zum 31. Dezember 2008 mit Verlängerungsoption bis zum 31. Dezember 2009 verlängert.</w:t>
      </w:r>
    </w:p>
    <w:p w:rsidR="00644337" w:rsidRPr="002F036B" w:rsidRDefault="00644337" w:rsidP="00644337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einem Verfahren bei der Staatsanwaltschaft Münster</w:t>
      </w:r>
      <w:r w:rsidR="004F54FD">
        <w:rPr>
          <w:rFonts w:ascii="Arial" w:hAnsi="Arial" w:cs="Arial"/>
          <w:sz w:val="24"/>
          <w:szCs w:val="24"/>
        </w:rPr>
        <w:t xml:space="preserve"> (</w:t>
      </w:r>
      <w:r w:rsidR="004F54FD" w:rsidRPr="004F54FD">
        <w:rPr>
          <w:rFonts w:ascii="Arial" w:hAnsi="Arial" w:cs="Arial"/>
          <w:sz w:val="24"/>
          <w:szCs w:val="24"/>
        </w:rPr>
        <w:t xml:space="preserve">540 </w:t>
      </w:r>
      <w:proofErr w:type="spellStart"/>
      <w:r w:rsidR="004F54FD" w:rsidRPr="004F54FD">
        <w:rPr>
          <w:rFonts w:ascii="Arial" w:hAnsi="Arial" w:cs="Arial"/>
          <w:sz w:val="24"/>
          <w:szCs w:val="24"/>
        </w:rPr>
        <w:t>Js</w:t>
      </w:r>
      <w:proofErr w:type="spellEnd"/>
      <w:r w:rsidR="004F54FD" w:rsidRPr="004F54FD">
        <w:rPr>
          <w:rFonts w:ascii="Arial" w:hAnsi="Arial" w:cs="Arial"/>
          <w:sz w:val="24"/>
          <w:szCs w:val="24"/>
        </w:rPr>
        <w:t xml:space="preserve"> 40/10</w:t>
      </w:r>
      <w:r w:rsidR="004F54FD">
        <w:rPr>
          <w:rFonts w:ascii="Arial" w:hAnsi="Arial" w:cs="Arial"/>
          <w:sz w:val="24"/>
          <w:szCs w:val="24"/>
        </w:rPr>
        <w:t xml:space="preserve"> und </w:t>
      </w:r>
      <w:r w:rsidR="004F54FD" w:rsidRPr="004F54FD">
        <w:rPr>
          <w:rFonts w:ascii="Arial" w:hAnsi="Arial" w:cs="Arial"/>
          <w:sz w:val="24"/>
          <w:szCs w:val="24"/>
        </w:rPr>
        <w:t>540 UJs 1502/11</w:t>
      </w:r>
      <w:r w:rsidR="004F54FD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und der Generalstaatsanwaltschaft Hamm</w:t>
      </w:r>
      <w:r w:rsidR="004F54FD">
        <w:rPr>
          <w:rFonts w:ascii="Arial" w:hAnsi="Arial" w:cs="Arial"/>
          <w:sz w:val="24"/>
          <w:szCs w:val="24"/>
        </w:rPr>
        <w:t xml:space="preserve"> (u.a. </w:t>
      </w:r>
      <w:r w:rsidR="004F54FD" w:rsidRPr="004F54FD">
        <w:rPr>
          <w:rFonts w:ascii="Arial" w:hAnsi="Arial" w:cs="Arial"/>
          <w:sz w:val="24"/>
          <w:szCs w:val="24"/>
        </w:rPr>
        <w:t xml:space="preserve">2 </w:t>
      </w:r>
      <w:proofErr w:type="spellStart"/>
      <w:r w:rsidR="004F54FD" w:rsidRPr="004F54FD">
        <w:rPr>
          <w:rFonts w:ascii="Arial" w:hAnsi="Arial" w:cs="Arial"/>
          <w:sz w:val="24"/>
          <w:szCs w:val="24"/>
        </w:rPr>
        <w:t>Zs</w:t>
      </w:r>
      <w:proofErr w:type="spellEnd"/>
      <w:r w:rsidR="004F54FD" w:rsidRPr="004F54FD">
        <w:rPr>
          <w:rFonts w:ascii="Arial" w:hAnsi="Arial" w:cs="Arial"/>
          <w:sz w:val="24"/>
          <w:szCs w:val="24"/>
        </w:rPr>
        <w:t xml:space="preserve"> 243/12</w:t>
      </w:r>
      <w:r w:rsidR="004F54FD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 xml:space="preserve"> ist ermittelt worden, dass allein im Zuständigkeitsbereich eines Veterinäramtes zahlreiche </w:t>
      </w:r>
      <w:proofErr w:type="spellStart"/>
      <w:r>
        <w:rPr>
          <w:rFonts w:ascii="Arial" w:hAnsi="Arial" w:cs="Arial"/>
          <w:sz w:val="24"/>
          <w:szCs w:val="24"/>
        </w:rPr>
        <w:t>Legehennenbetriebe</w:t>
      </w:r>
      <w:proofErr w:type="spellEnd"/>
      <w:r>
        <w:rPr>
          <w:rFonts w:ascii="Arial" w:hAnsi="Arial" w:cs="Arial"/>
          <w:sz w:val="24"/>
          <w:szCs w:val="24"/>
        </w:rPr>
        <w:t xml:space="preserve"> diese Frist teils um Wochen überschritten hatten, nur teilweise wurden geringe Bußgelder verhängt. Demnach ist zu erwarten, dass dies NRW-weit so geschehen ist. Die Daten liegen den einzelnen Veterinärämtern vor.</w:t>
      </w:r>
    </w:p>
    <w:p w:rsidR="009C152F" w:rsidRPr="002F036B" w:rsidRDefault="009C152F" w:rsidP="002F036B">
      <w:pPr>
        <w:pStyle w:val="Listenabsatz"/>
        <w:spacing w:line="360" w:lineRule="auto"/>
        <w:rPr>
          <w:rFonts w:ascii="Arial" w:hAnsi="Arial" w:cs="Arial"/>
          <w:sz w:val="24"/>
          <w:szCs w:val="24"/>
        </w:rPr>
      </w:pPr>
    </w:p>
    <w:p w:rsidR="006E7251" w:rsidRPr="002F036B" w:rsidRDefault="009C152F" w:rsidP="002F036B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2F036B">
        <w:rPr>
          <w:rFonts w:ascii="Arial" w:hAnsi="Arial" w:cs="Arial"/>
          <w:sz w:val="24"/>
          <w:szCs w:val="24"/>
        </w:rPr>
        <w:t>Wie viele Betriebe</w:t>
      </w:r>
      <w:r w:rsidR="004C0B77">
        <w:rPr>
          <w:rFonts w:ascii="Arial" w:hAnsi="Arial" w:cs="Arial"/>
          <w:sz w:val="24"/>
          <w:szCs w:val="24"/>
        </w:rPr>
        <w:t xml:space="preserve"> in NRW</w:t>
      </w:r>
      <w:r w:rsidRPr="002F036B">
        <w:rPr>
          <w:rFonts w:ascii="Arial" w:hAnsi="Arial" w:cs="Arial"/>
          <w:sz w:val="24"/>
          <w:szCs w:val="24"/>
        </w:rPr>
        <w:t xml:space="preserve">, in denen Legehennen in der damals üblichen Käfighaltung gehalten wurden, haben die </w:t>
      </w:r>
      <w:r w:rsidR="002F036B" w:rsidRPr="002F036B">
        <w:rPr>
          <w:rFonts w:ascii="Arial" w:hAnsi="Arial" w:cs="Arial"/>
          <w:sz w:val="24"/>
          <w:szCs w:val="24"/>
        </w:rPr>
        <w:t xml:space="preserve">o.g. </w:t>
      </w:r>
      <w:r w:rsidRPr="002F036B">
        <w:rPr>
          <w:rFonts w:ascii="Arial" w:hAnsi="Arial" w:cs="Arial"/>
          <w:sz w:val="24"/>
          <w:szCs w:val="24"/>
        </w:rPr>
        <w:t>Übergangsfrist überschritten, d.h. auch nach dem 01.01.2010 noch Legehennen in der ab diesem Zeitpunkt untersagten Haltungsform gehalten</w:t>
      </w:r>
      <w:r w:rsidR="004C0B77">
        <w:rPr>
          <w:rFonts w:ascii="Arial" w:hAnsi="Arial" w:cs="Arial"/>
          <w:sz w:val="24"/>
          <w:szCs w:val="24"/>
        </w:rPr>
        <w:t>? Um wie viele Tiere handelt es sich hierbei?</w:t>
      </w:r>
    </w:p>
    <w:p w:rsidR="002F036B" w:rsidRPr="002F036B" w:rsidRDefault="002F036B" w:rsidP="002F036B">
      <w:pPr>
        <w:pStyle w:val="Listenabsatz"/>
        <w:spacing w:line="360" w:lineRule="auto"/>
        <w:rPr>
          <w:rFonts w:ascii="Arial" w:hAnsi="Arial" w:cs="Arial"/>
          <w:sz w:val="24"/>
          <w:szCs w:val="24"/>
        </w:rPr>
      </w:pPr>
    </w:p>
    <w:p w:rsidR="009C152F" w:rsidRDefault="009C152F" w:rsidP="002F036B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2F036B">
        <w:rPr>
          <w:rFonts w:ascii="Arial" w:hAnsi="Arial" w:cs="Arial"/>
          <w:sz w:val="24"/>
          <w:szCs w:val="24"/>
        </w:rPr>
        <w:t>Gegen wie viele dieser Betrieb</w:t>
      </w:r>
      <w:r w:rsidR="004C0B77">
        <w:rPr>
          <w:rFonts w:ascii="Arial" w:hAnsi="Arial" w:cs="Arial"/>
          <w:sz w:val="24"/>
          <w:szCs w:val="24"/>
        </w:rPr>
        <w:t>e</w:t>
      </w:r>
      <w:r w:rsidRPr="002F036B">
        <w:rPr>
          <w:rFonts w:ascii="Arial" w:hAnsi="Arial" w:cs="Arial"/>
          <w:sz w:val="24"/>
          <w:szCs w:val="24"/>
        </w:rPr>
        <w:t xml:space="preserve"> ist wegen der o.g. Fristüberschreitung ein Bußgeld verhängt worden</w:t>
      </w:r>
      <w:r w:rsidR="004C0B77">
        <w:rPr>
          <w:rFonts w:ascii="Arial" w:hAnsi="Arial" w:cs="Arial"/>
          <w:sz w:val="24"/>
          <w:szCs w:val="24"/>
        </w:rPr>
        <w:t>?</w:t>
      </w:r>
    </w:p>
    <w:p w:rsidR="004C0B77" w:rsidRDefault="004C0B77" w:rsidP="004C0B77">
      <w:pPr>
        <w:pStyle w:val="Listenabsatz"/>
        <w:spacing w:line="360" w:lineRule="auto"/>
        <w:rPr>
          <w:rFonts w:ascii="Arial" w:hAnsi="Arial" w:cs="Arial"/>
          <w:sz w:val="24"/>
          <w:szCs w:val="24"/>
        </w:rPr>
      </w:pPr>
    </w:p>
    <w:p w:rsidR="004C0B77" w:rsidRPr="002F036B" w:rsidRDefault="004C0B77" w:rsidP="002F036B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Hat es hier Strafverfahren gegen Betriebe gegeben, wenn ja, mit welchem Deliktsvorwurf und mit welchem Ergebnis?</w:t>
      </w:r>
    </w:p>
    <w:p w:rsidR="002F036B" w:rsidRPr="002F036B" w:rsidRDefault="002F036B" w:rsidP="002F036B">
      <w:pPr>
        <w:pStyle w:val="Listenabsatz"/>
        <w:spacing w:line="360" w:lineRule="auto"/>
        <w:rPr>
          <w:rFonts w:ascii="Arial" w:hAnsi="Arial" w:cs="Arial"/>
          <w:sz w:val="24"/>
          <w:szCs w:val="24"/>
        </w:rPr>
      </w:pPr>
    </w:p>
    <w:p w:rsidR="004C0B77" w:rsidRPr="004C0B77" w:rsidRDefault="009C152F" w:rsidP="004C0B77">
      <w:pPr>
        <w:pStyle w:val="Listenabsatz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2F036B">
        <w:rPr>
          <w:rFonts w:ascii="Arial" w:hAnsi="Arial" w:cs="Arial"/>
          <w:sz w:val="24"/>
          <w:szCs w:val="24"/>
        </w:rPr>
        <w:t>Wie lange wurde die Frist von den Betrieben im Durchschnitt überschritten?</w:t>
      </w:r>
    </w:p>
    <w:sectPr w:rsidR="004C0B77" w:rsidRPr="004C0B7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B7830"/>
    <w:multiLevelType w:val="hybridMultilevel"/>
    <w:tmpl w:val="8098C7B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2F"/>
    <w:rsid w:val="000B58DC"/>
    <w:rsid w:val="002F036B"/>
    <w:rsid w:val="004C0B77"/>
    <w:rsid w:val="004F54FD"/>
    <w:rsid w:val="00644337"/>
    <w:rsid w:val="006E7251"/>
    <w:rsid w:val="009C152F"/>
    <w:rsid w:val="00D62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C152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C15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DavinaB</dc:creator>
  <cp:lastModifiedBy>EdmundH</cp:lastModifiedBy>
  <cp:revision>4</cp:revision>
  <dcterms:created xsi:type="dcterms:W3CDTF">2012-07-18T18:33:00Z</dcterms:created>
  <dcterms:modified xsi:type="dcterms:W3CDTF">2012-07-18T18:47:00Z</dcterms:modified>
</cp:coreProperties>
</file>