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179" w:type="dxa"/>
        <w:tblBorders>
          <w:top w:val="nil"/>
          <w:left w:val="nil"/>
          <w:bottom w:val="nil"/>
          <w:insideH w:val="nil"/>
          <w:right w:val="nil"/>
          <w:insideV w:val="nil"/>
        </w:tblBorders>
        <w:tblCellMar>
          <w:top w:w="0" w:type="dxa"/>
          <w:left w:w="108" w:type="dxa"/>
          <w:bottom w:w="0" w:type="dxa"/>
          <w:right w:w="108" w:type="dxa"/>
        </w:tblCellMar>
      </w:tblPr>
      <w:tblGrid>
        <w:gridCol w:w="2551"/>
        <w:gridCol w:w="2551"/>
        <w:gridCol w:w="2551"/>
        <w:gridCol w:w="2551"/>
      </w:tblGrid>
      <w:tr>
        <w:trPr>
          <w:cantSplit w:val="false"/>
        </w:trPr>
        <w:tc>
          <w:tcPr>
            <w:tcW w:w="2551" w:type="dxa"/>
            <w:tcBorders>
              <w:top w:val="nil"/>
              <w:left w:val="nil"/>
              <w:bottom w:val="nil"/>
              <w:insideH w:val="nil"/>
              <w:right w:val="nil"/>
              <w:insideV w:val="nil"/>
            </w:tcBorders>
            <w:shd w:fill="FFFFFF" w:val="clear"/>
          </w:tcPr>
          <w:p>
            <w:pPr>
              <w:pStyle w:val="Normal"/>
              <w:rPr>
                <w:rFonts w:cs="Arial"/>
                <w:sz w:val="30"/>
              </w:rPr>
            </w:pPr>
            <w:r>
              <w:rPr>
                <w:rFonts w:cs="Arial"/>
                <w:sz w:val="30"/>
              </w:rPr>
              <w:t>Antrag</w:t>
            </w:r>
          </w:p>
        </w:tc>
        <w:tc>
          <w:tcPr>
            <w:tcW w:w="2551" w:type="dxa"/>
            <w:tcBorders>
              <w:top w:val="nil"/>
              <w:left w:val="nil"/>
              <w:bottom w:val="nil"/>
              <w:insideH w:val="nil"/>
              <w:right w:val="nil"/>
              <w:insideV w:val="nil"/>
            </w:tcBorders>
            <w:shd w:fill="FFFFFF" w:val="clear"/>
          </w:tcPr>
          <w:p>
            <w:pPr>
              <w:pStyle w:val="Normal"/>
              <w:spacing w:before="0" w:after="60"/>
              <w:rPr>
                <w:rFonts w:cs="Arial"/>
                <w:sz w:val="14"/>
              </w:rPr>
            </w:pPr>
            <w:r>
              <w:rPr>
                <w:rFonts w:cs="Arial"/>
                <w:sz w:val="14"/>
              </w:rPr>
              <w:t>Datum</w:t>
            </w:r>
          </w:p>
        </w:tc>
        <w:tc>
          <w:tcPr>
            <w:tcW w:w="5102" w:type="dxa"/>
            <w:gridSpan w:val="2"/>
            <w:tcBorders>
              <w:top w:val="single" w:sz="6" w:space="0" w:color="00000A"/>
              <w:left w:val="single" w:sz="6" w:space="0" w:color="00000A"/>
              <w:bottom w:val="nil"/>
              <w:insideH w:val="nil"/>
              <w:right w:val="single" w:sz="6" w:space="0" w:color="00000A"/>
              <w:insideV w:val="single" w:sz="6" w:space="0" w:color="00000A"/>
            </w:tcBorders>
            <w:shd w:fill="FFFFFF" w:val="clear"/>
            <w:tcMar>
              <w:left w:w="76" w:type="dxa"/>
            </w:tcMar>
          </w:tcPr>
          <w:p>
            <w:pPr>
              <w:pStyle w:val="Normal"/>
              <w:spacing w:before="0" w:after="60"/>
              <w:rPr>
                <w:rFonts w:cs="Arial"/>
                <w:sz w:val="14"/>
              </w:rPr>
            </w:pPr>
            <w:r>
              <w:rPr>
                <w:rFonts w:cs="Arial"/>
                <w:sz w:val="14"/>
              </w:rPr>
              <w:t>Nummer</w:t>
            </w:r>
          </w:p>
        </w:tc>
      </w:tr>
      <w:tr>
        <w:trPr>
          <w:cantSplit w:val="false"/>
        </w:trPr>
        <w:tc>
          <w:tcPr>
            <w:tcW w:w="2551" w:type="dxa"/>
            <w:tcBorders>
              <w:top w:val="nil"/>
              <w:left w:val="nil"/>
              <w:bottom w:val="nil"/>
              <w:insideH w:val="nil"/>
              <w:right w:val="nil"/>
              <w:insideV w:val="nil"/>
            </w:tcBorders>
            <w:shd w:fill="FFFFFF" w:val="clear"/>
          </w:tcPr>
          <w:p>
            <w:pPr>
              <w:pStyle w:val="Normal"/>
              <w:rPr/>
            </w:pPr>
            <w:bookmarkStart w:id="0" w:name="AAAVorlage"/>
            <w:bookmarkStart w:id="1" w:name="AAAVorlage"/>
            <w:bookmarkEnd w:id="1"/>
            <w:r>
              <w:rPr/>
            </w:r>
          </w:p>
        </w:tc>
        <w:tc>
          <w:tcPr>
            <w:tcW w:w="2551" w:type="dxa"/>
            <w:tcBorders>
              <w:top w:val="nil"/>
              <w:left w:val="nil"/>
              <w:bottom w:val="single" w:sz="6" w:space="0" w:color="00000A"/>
              <w:insideH w:val="single" w:sz="6" w:space="0" w:color="00000A"/>
              <w:right w:val="nil"/>
              <w:insideV w:val="nil"/>
            </w:tcBorders>
            <w:shd w:fill="FFFFFF" w:val="clear"/>
          </w:tcPr>
          <w:p>
            <w:pPr>
              <w:pStyle w:val="Normal"/>
              <w:rPr>
                <w:rFonts w:cs="Arial"/>
                <w:szCs w:val="22"/>
              </w:rPr>
            </w:pPr>
            <w:r>
              <w:rPr>
                <w:rFonts w:cs="Arial"/>
                <w:szCs w:val="22"/>
              </w:rPr>
              <w:t>Datum (fix)</w:t>
            </w:r>
          </w:p>
        </w:tc>
        <w:tc>
          <w:tcPr>
            <w:tcW w:w="2551" w:type="dxa"/>
            <w:tcBorders>
              <w:top w:val="nil"/>
              <w:left w:val="single" w:sz="6" w:space="0" w:color="00000A"/>
              <w:bottom w:val="single" w:sz="6" w:space="0" w:color="00000A"/>
              <w:insideH w:val="single" w:sz="6" w:space="0" w:color="00000A"/>
              <w:right w:val="nil"/>
              <w:insideV w:val="nil"/>
            </w:tcBorders>
            <w:shd w:fill="FFFFFF" w:val="clear"/>
            <w:tcMar>
              <w:left w:w="76" w:type="dxa"/>
            </w:tcMar>
          </w:tcPr>
          <w:p>
            <w:pPr>
              <w:pStyle w:val="Normal"/>
              <w:rPr>
                <w:rFonts w:cs="Arial"/>
                <w:szCs w:val="22"/>
              </w:rPr>
            </w:pPr>
            <w:r>
              <w:rPr>
                <w:rFonts w:cs="Arial"/>
                <w:szCs w:val="22"/>
              </w:rPr>
              <w:t>0001/15</w:t>
            </w:r>
          </w:p>
        </w:tc>
        <w:tc>
          <w:tcPr>
            <w:tcW w:w="2551" w:type="dxa"/>
            <w:tcBorders>
              <w:top w:val="nil"/>
              <w:left w:val="nil"/>
              <w:bottom w:val="single" w:sz="6" w:space="0" w:color="00000A"/>
              <w:insideH w:val="single" w:sz="6" w:space="0" w:color="00000A"/>
              <w:right w:val="single" w:sz="6" w:space="0" w:color="00000A"/>
              <w:insideV w:val="single" w:sz="6" w:space="0" w:color="00000A"/>
            </w:tcBorders>
            <w:shd w:fill="FFFFFF" w:val="clear"/>
          </w:tcPr>
          <w:p>
            <w:pPr>
              <w:pStyle w:val="Normal"/>
              <w:rPr>
                <w:rFonts w:cs="Arial"/>
                <w:szCs w:val="22"/>
              </w:rPr>
            </w:pPr>
            <w:bookmarkStart w:id="2" w:name="Nichtöffentlich"/>
            <w:bookmarkEnd w:id="2"/>
            <w:r>
              <w:rPr>
                <w:rFonts w:cs="Arial"/>
                <w:szCs w:val="22"/>
              </w:rPr>
              <w:t xml:space="preserve"> </w:t>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76" w:type="dxa"/>
            </w:tcMar>
          </w:tcPr>
          <w:p>
            <w:pPr>
              <w:pStyle w:val="Normal"/>
              <w:spacing w:before="0" w:after="60"/>
              <w:rPr>
                <w:rFonts w:cs="Arial"/>
                <w:sz w:val="14"/>
              </w:rPr>
            </w:pPr>
            <w:r>
              <w:rPr>
                <w:rFonts w:cs="Arial"/>
                <w:sz w:val="14"/>
              </w:rPr>
              <w:t>Absender</w:t>
            </w:r>
          </w:p>
        </w:tc>
        <w:tc>
          <w:tcPr>
            <w:tcW w:w="7653" w:type="dxa"/>
            <w:gridSpan w:val="3"/>
            <w:tcBorders>
              <w:top w:val="single" w:sz="12" w:space="0" w:color="00000A"/>
              <w:left w:val="single" w:sz="12" w:space="0" w:color="00000A"/>
              <w:bottom w:val="nil"/>
              <w:insideH w:val="nil"/>
              <w:right w:val="single" w:sz="12" w:space="0" w:color="00000A"/>
              <w:insideV w:val="single" w:sz="12" w:space="0" w:color="00000A"/>
            </w:tcBorders>
            <w:shd w:fill="FFFFFF" w:val="clear"/>
            <w:tcMar>
              <w:left w:w="48" w:type="dxa"/>
            </w:tcMar>
          </w:tcPr>
          <w:p>
            <w:pPr>
              <w:pStyle w:val="Normal"/>
              <w:rPr>
                <w:rFonts w:cs="Arial"/>
                <w:b/>
                <w:color w:val="FF0000"/>
                <w:sz w:val="14"/>
              </w:rPr>
            </w:pPr>
            <w:r>
              <w:rPr>
                <w:rFonts w:cs="Arial"/>
                <w:b/>
                <w:color w:val="FF0000"/>
                <w:sz w:val="14"/>
              </w:rPr>
              <w:t>Wird von der Verwaltung ausgefüllt</w:t>
            </w:r>
          </w:p>
          <w:p>
            <w:pPr>
              <w:pStyle w:val="Normal"/>
              <w:rPr>
                <w:rFonts w:cs="Arial"/>
                <w:sz w:val="14"/>
              </w:rPr>
            </w:pPr>
            <w:r>
              <w:rPr>
                <w:rFonts w:cs="Arial"/>
                <w:sz w:val="14"/>
              </w:rPr>
              <w:t>Aufgenommen in d. TO d. Sitzung d. Gremiums</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76" w:type="dxa"/>
            </w:tcMar>
          </w:tcPr>
          <w:p>
            <w:pPr>
              <w:pStyle w:val="Normal"/>
              <w:rPr>
                <w:rFonts w:cs="Arial"/>
                <w:szCs w:val="22"/>
              </w:rPr>
            </w:pPr>
            <w:r>
              <w:rPr>
                <w:rFonts w:cs="Arial"/>
                <w:szCs w:val="22"/>
              </w:rPr>
              <w:t>Ratsherr Martin Kesztyüs</w:t>
            </w:r>
          </w:p>
          <w:p>
            <w:pPr>
              <w:pStyle w:val="Normal"/>
              <w:rPr>
                <w:rFonts w:cs="Arial"/>
                <w:szCs w:val="22"/>
              </w:rPr>
            </w:pPr>
            <w:r>
              <w:rPr>
                <w:rFonts w:cs="Arial"/>
                <w:szCs w:val="22"/>
              </w:rPr>
              <w:t>Friesenstr. 12</w:t>
            </w:r>
          </w:p>
          <w:p>
            <w:pPr>
              <w:pStyle w:val="Normal"/>
              <w:rPr>
                <w:rFonts w:cs="Arial"/>
                <w:szCs w:val="22"/>
              </w:rPr>
            </w:pPr>
            <w:bookmarkStart w:id="3" w:name="Absender"/>
            <w:r>
              <w:rPr>
                <w:rFonts w:cs="Arial"/>
                <w:szCs w:val="22"/>
              </w:rPr>
              <w:t>5</w:t>
            </w:r>
            <w:bookmarkEnd w:id="3"/>
            <w:r>
              <w:rPr>
                <w:rFonts w:cs="Arial"/>
                <w:szCs w:val="22"/>
              </w:rPr>
              <w:t>9067</w:t>
            </w:r>
          </w:p>
          <w:p>
            <w:pPr>
              <w:pStyle w:val="Normal"/>
              <w:rPr>
                <w:rFonts w:cs="Arial"/>
                <w:szCs w:val="22"/>
              </w:rPr>
            </w:pPr>
            <w:r>
              <w:rPr>
                <w:rFonts w:cs="Arial"/>
                <w:szCs w:val="22"/>
              </w:rPr>
              <w:t>Hamm</w:t>
            </w:r>
          </w:p>
        </w:tc>
        <w:tc>
          <w:tcPr>
            <w:tcW w:w="7653" w:type="dxa"/>
            <w:gridSpan w:val="3"/>
            <w:tcBorders>
              <w:top w:val="nil"/>
              <w:left w:val="single" w:sz="12" w:space="0" w:color="00000A"/>
              <w:bottom w:val="nil"/>
              <w:insideH w:val="nil"/>
              <w:right w:val="single" w:sz="12" w:space="0" w:color="00000A"/>
              <w:insideV w:val="single" w:sz="12" w:space="0" w:color="00000A"/>
            </w:tcBorders>
            <w:shd w:fill="FFFFFF" w:val="clear"/>
            <w:tcMar>
              <w:left w:w="48" w:type="dxa"/>
            </w:tcMar>
          </w:tcPr>
          <w:p>
            <w:pPr>
              <w:pStyle w:val="Normal"/>
              <w:rPr/>
            </w:pPr>
            <w:bookmarkStart w:id="4" w:name="Datum"/>
            <w:bookmarkStart w:id="5" w:name="BeschlußorganVW"/>
            <w:bookmarkStart w:id="6" w:name="Datum"/>
            <w:bookmarkStart w:id="7" w:name="BeschlußorganVW"/>
            <w:bookmarkEnd w:id="6"/>
            <w:bookmarkEnd w:id="7"/>
            <w:r>
              <w:rPr/>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76" w:type="dxa"/>
            </w:tcMar>
          </w:tcPr>
          <w:p>
            <w:pPr>
              <w:pStyle w:val="Normal"/>
              <w:spacing w:before="0" w:after="60"/>
              <w:rPr>
                <w:rFonts w:cs="Arial"/>
                <w:sz w:val="14"/>
              </w:rPr>
            </w:pPr>
            <w:r>
              <w:rPr>
                <w:rFonts w:cs="Arial"/>
                <w:sz w:val="14"/>
              </w:rPr>
              <w:t>Adressat</w:t>
            </w:r>
          </w:p>
        </w:tc>
        <w:tc>
          <w:tcPr>
            <w:tcW w:w="7653" w:type="dxa"/>
            <w:gridSpan w:val="3"/>
            <w:tcBorders>
              <w:top w:val="single" w:sz="6" w:space="0" w:color="00000A"/>
              <w:left w:val="single" w:sz="12" w:space="0" w:color="00000A"/>
              <w:bottom w:val="nil"/>
              <w:insideH w:val="nil"/>
              <w:right w:val="single" w:sz="12" w:space="0" w:color="00000A"/>
              <w:insideV w:val="single" w:sz="12" w:space="0" w:color="00000A"/>
            </w:tcBorders>
            <w:shd w:fill="FFFFFF" w:val="clear"/>
            <w:tcMar>
              <w:left w:w="48" w:type="dxa"/>
            </w:tcMar>
          </w:tcPr>
          <w:p>
            <w:pPr>
              <w:pStyle w:val="Normal"/>
              <w:spacing w:before="0" w:after="60"/>
              <w:rPr>
                <w:rFonts w:cs="Arial"/>
                <w:sz w:val="14"/>
              </w:rPr>
            </w:pPr>
            <w:r>
              <w:rPr>
                <w:rFonts w:cs="Arial"/>
                <w:sz w:val="14"/>
              </w:rPr>
              <w:t>am</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76" w:type="dxa"/>
            </w:tcMar>
          </w:tcPr>
          <w:p>
            <w:pPr>
              <w:pStyle w:val="Normal"/>
              <w:rPr>
                <w:rFonts w:cs="Arial"/>
                <w:szCs w:val="22"/>
              </w:rPr>
            </w:pPr>
            <w:r>
              <w:rPr>
                <w:rFonts w:cs="Arial"/>
                <w:szCs w:val="22"/>
              </w:rPr>
              <w:t>Herrn Oberbürgermeister Thomas Hunsteger-Petermann</w:t>
            </w:r>
          </w:p>
          <w:p>
            <w:pPr>
              <w:pStyle w:val="Normal"/>
              <w:rPr>
                <w:rFonts w:cs="Arial"/>
                <w:szCs w:val="22"/>
              </w:rPr>
            </w:pPr>
            <w:r>
              <w:rPr>
                <w:rFonts w:cs="Arial"/>
                <w:szCs w:val="22"/>
              </w:rPr>
              <w:t xml:space="preserve">Theodor-Heuss-Platz 16 </w:t>
            </w:r>
          </w:p>
          <w:p>
            <w:pPr>
              <w:pStyle w:val="Normal"/>
              <w:rPr>
                <w:rFonts w:cs="Arial"/>
                <w:szCs w:val="22"/>
              </w:rPr>
            </w:pPr>
            <w:bookmarkStart w:id="8" w:name="Adressat"/>
            <w:bookmarkEnd w:id="8"/>
            <w:r>
              <w:rPr>
                <w:rFonts w:cs="Arial"/>
                <w:szCs w:val="22"/>
              </w:rPr>
              <w:t>59065 Hamm</w:t>
            </w:r>
          </w:p>
        </w:tc>
        <w:tc>
          <w:tcPr>
            <w:tcW w:w="7653" w:type="dxa"/>
            <w:gridSpan w:val="3"/>
            <w:tcBorders>
              <w:top w:val="nil"/>
              <w:left w:val="single" w:sz="12" w:space="0" w:color="00000A"/>
              <w:bottom w:val="single" w:sz="6" w:space="0" w:color="00000A"/>
              <w:insideH w:val="single" w:sz="6" w:space="0" w:color="00000A"/>
              <w:right w:val="single" w:sz="12" w:space="0" w:color="00000A"/>
              <w:insideV w:val="single" w:sz="12" w:space="0" w:color="00000A"/>
            </w:tcBorders>
            <w:shd w:fill="FFFFFF" w:val="clear"/>
            <w:tcMar>
              <w:left w:w="48" w:type="dxa"/>
            </w:tcMar>
          </w:tcPr>
          <w:p>
            <w:pPr>
              <w:pStyle w:val="Normal"/>
              <w:rPr/>
            </w:pPr>
            <w:bookmarkStart w:id="9" w:name="Genehmigung"/>
            <w:bookmarkStart w:id="10" w:name="BeschlußorganTerminVW"/>
            <w:bookmarkStart w:id="11" w:name="Genehmigung"/>
            <w:bookmarkStart w:id="12" w:name="BeschlußorganTerminVW"/>
            <w:bookmarkEnd w:id="11"/>
            <w:bookmarkEnd w:id="12"/>
            <w:r>
              <w:rPr/>
            </w:r>
          </w:p>
        </w:tc>
      </w:tr>
      <w:tr>
        <w:trPr>
          <w:cantSplit w:val="false"/>
        </w:trPr>
        <w:tc>
          <w:tcPr>
            <w:tcW w:w="2551" w:type="dxa"/>
            <w:tcBorders>
              <w:top w:val="single" w:sz="6" w:space="0" w:color="00000A"/>
              <w:left w:val="single" w:sz="6" w:space="0" w:color="00000A"/>
              <w:bottom w:val="nil"/>
              <w:insideH w:val="nil"/>
              <w:right w:val="single" w:sz="6" w:space="0" w:color="00000A"/>
              <w:insideV w:val="single" w:sz="6" w:space="0" w:color="00000A"/>
            </w:tcBorders>
            <w:shd w:fill="FFFFFF" w:val="clear"/>
            <w:tcMar>
              <w:left w:w="76" w:type="dxa"/>
            </w:tcMar>
          </w:tcPr>
          <w:p>
            <w:pPr>
              <w:pStyle w:val="Normal"/>
              <w:spacing w:before="0" w:after="60"/>
              <w:rPr>
                <w:rFonts w:cs="Arial"/>
                <w:sz w:val="14"/>
              </w:rPr>
            </w:pPr>
            <w:r>
              <w:rPr>
                <w:rFonts w:cs="Arial"/>
                <w:sz w:val="14"/>
              </w:rPr>
              <w:t>Gremium</w:t>
            </w:r>
          </w:p>
        </w:tc>
        <w:tc>
          <w:tcPr>
            <w:tcW w:w="2551" w:type="dxa"/>
            <w:tcBorders>
              <w:top w:val="single" w:sz="6" w:space="0" w:color="00000A"/>
              <w:left w:val="nil"/>
              <w:bottom w:val="nil"/>
              <w:insideH w:val="nil"/>
              <w:right w:val="nil"/>
              <w:insideV w:val="nil"/>
            </w:tcBorders>
            <w:shd w:fill="FFFFFF" w:val="clear"/>
          </w:tcPr>
          <w:p>
            <w:pPr>
              <w:pStyle w:val="Normal"/>
              <w:spacing w:before="0" w:after="60"/>
              <w:rPr>
                <w:rFonts w:cs="Arial"/>
                <w:sz w:val="14"/>
              </w:rPr>
            </w:pPr>
            <w:r>
              <w:rPr>
                <w:rFonts w:cs="Arial"/>
                <w:sz w:val="14"/>
              </w:rPr>
              <w:t>Sitzungstermin</w:t>
            </w:r>
          </w:p>
        </w:tc>
        <w:tc>
          <w:tcPr>
            <w:tcW w:w="5102" w:type="dxa"/>
            <w:gridSpan w:val="2"/>
            <w:tcBorders>
              <w:top w:val="single" w:sz="6" w:space="0" w:color="00000A"/>
              <w:left w:val="single" w:sz="12" w:space="0" w:color="00000A"/>
              <w:bottom w:val="nil"/>
              <w:insideH w:val="nil"/>
              <w:right w:val="single" w:sz="12" w:space="0" w:color="00000A"/>
              <w:insideV w:val="single" w:sz="12" w:space="0" w:color="00000A"/>
            </w:tcBorders>
            <w:shd w:fill="FFFFFF" w:val="clear"/>
            <w:tcMar>
              <w:left w:w="48" w:type="dxa"/>
            </w:tcMar>
          </w:tcPr>
          <w:p>
            <w:pPr>
              <w:pStyle w:val="Normal"/>
              <w:spacing w:before="0" w:after="60"/>
              <w:rPr>
                <w:rFonts w:cs="Arial"/>
                <w:sz w:val="14"/>
              </w:rPr>
            </w:pPr>
            <w:r>
              <w:rPr>
                <w:rFonts w:cs="Arial"/>
                <w:sz w:val="14"/>
              </w:rPr>
              <w:t>Federführender Dezernent</w:t>
            </w:r>
          </w:p>
        </w:tc>
      </w:tr>
      <w:tr>
        <w:trPr>
          <w:cantSplit w:val="false"/>
        </w:trPr>
        <w:tc>
          <w:tcPr>
            <w:tcW w:w="2551" w:type="dxa"/>
            <w:tcBorders>
              <w:top w:val="nil"/>
              <w:left w:val="single" w:sz="6" w:space="0" w:color="00000A"/>
              <w:bottom w:val="single" w:sz="6" w:space="0" w:color="00000A"/>
              <w:insideH w:val="single" w:sz="6" w:space="0" w:color="00000A"/>
              <w:right w:val="single" w:sz="6" w:space="0" w:color="00000A"/>
              <w:insideV w:val="single" w:sz="6" w:space="0" w:color="00000A"/>
            </w:tcBorders>
            <w:shd w:fill="FFFFFF" w:val="clear"/>
            <w:tcMar>
              <w:left w:w="76" w:type="dxa"/>
            </w:tcMar>
          </w:tcPr>
          <w:p>
            <w:pPr>
              <w:pStyle w:val="Normal"/>
              <w:rPr>
                <w:rFonts w:cs="Arial"/>
                <w:szCs w:val="22"/>
              </w:rPr>
            </w:pPr>
            <w:bookmarkStart w:id="13" w:name="Beschlußorgan"/>
            <w:bookmarkEnd w:id="13"/>
            <w:r>
              <w:rPr>
                <w:rFonts w:cs="Arial"/>
                <w:szCs w:val="22"/>
              </w:rPr>
              <w:t>Sozialausschuss</w:t>
            </w:r>
          </w:p>
        </w:tc>
        <w:tc>
          <w:tcPr>
            <w:tcW w:w="2551" w:type="dxa"/>
            <w:tcBorders>
              <w:top w:val="nil"/>
              <w:left w:val="nil"/>
              <w:bottom w:val="single" w:sz="6" w:space="0" w:color="00000A"/>
              <w:insideH w:val="single" w:sz="6" w:space="0" w:color="00000A"/>
              <w:right w:val="nil"/>
              <w:insideV w:val="nil"/>
            </w:tcBorders>
            <w:shd w:fill="FFFFFF" w:val="clear"/>
          </w:tcPr>
          <w:p>
            <w:pPr>
              <w:pStyle w:val="Normal"/>
              <w:rPr>
                <w:rFonts w:cs="Arial"/>
                <w:szCs w:val="22"/>
              </w:rPr>
            </w:pPr>
            <w:bookmarkStart w:id="14" w:name="BeschlußorganTermin"/>
            <w:bookmarkEnd w:id="14"/>
            <w:r>
              <w:rPr>
                <w:rFonts w:cs="Arial"/>
                <w:szCs w:val="22"/>
              </w:rPr>
              <w:t>27.06.2016 16:00</w:t>
            </w:r>
          </w:p>
        </w:tc>
        <w:tc>
          <w:tcPr>
            <w:tcW w:w="5102" w:type="dxa"/>
            <w:gridSpan w:val="2"/>
            <w:tcBorders>
              <w:top w:val="nil"/>
              <w:left w:val="single" w:sz="12" w:space="0" w:color="00000A"/>
              <w:bottom w:val="nil"/>
              <w:insideH w:val="nil"/>
              <w:right w:val="single" w:sz="12" w:space="0" w:color="00000A"/>
              <w:insideV w:val="single" w:sz="12" w:space="0" w:color="00000A"/>
            </w:tcBorders>
            <w:shd w:fill="FFFFFF" w:val="clear"/>
            <w:tcMar>
              <w:left w:w="48" w:type="dxa"/>
            </w:tcMar>
          </w:tcPr>
          <w:p>
            <w:pPr>
              <w:pStyle w:val="Normal"/>
              <w:rPr/>
            </w:pPr>
            <w:bookmarkStart w:id="15" w:name="FDezernent"/>
            <w:bookmarkStart w:id="16" w:name="FDezernent"/>
            <w:bookmarkEnd w:id="16"/>
            <w:r>
              <w:rPr/>
            </w:r>
          </w:p>
        </w:tc>
      </w:tr>
      <w:tr>
        <w:trPr>
          <w:cantSplit w:val="false"/>
        </w:trPr>
        <w:tc>
          <w:tcPr>
            <w:tcW w:w="2551" w:type="dxa"/>
            <w:tcBorders>
              <w:top w:val="single" w:sz="6" w:space="0" w:color="00000A"/>
              <w:left w:val="single" w:sz="6" w:space="0" w:color="00000A"/>
              <w:bottom w:val="nil"/>
              <w:insideH w:val="nil"/>
              <w:right w:val="nil"/>
              <w:insideV w:val="nil"/>
            </w:tcBorders>
            <w:shd w:fill="FFFFFF" w:val="clear"/>
            <w:tcMar>
              <w:left w:w="76" w:type="dxa"/>
            </w:tcMar>
          </w:tcPr>
          <w:p>
            <w:pPr>
              <w:pStyle w:val="Normal"/>
              <w:spacing w:before="0" w:after="60"/>
              <w:rPr>
                <w:rFonts w:cs="Arial"/>
                <w:sz w:val="14"/>
              </w:rPr>
            </w:pPr>
            <w:r>
              <w:rPr>
                <w:rFonts w:cs="Arial"/>
                <w:sz w:val="14"/>
              </w:rPr>
              <w:t>Betreff</w:t>
            </w:r>
          </w:p>
        </w:tc>
        <w:tc>
          <w:tcPr>
            <w:tcW w:w="7653" w:type="dxa"/>
            <w:gridSpan w:val="3"/>
            <w:tcBorders>
              <w:top w:val="single" w:sz="6" w:space="0" w:color="00000A"/>
              <w:left w:val="single" w:sz="12" w:space="0" w:color="00000A"/>
              <w:bottom w:val="nil"/>
              <w:insideH w:val="nil"/>
              <w:right w:val="single" w:sz="12" w:space="0" w:color="00000A"/>
              <w:insideV w:val="single" w:sz="12" w:space="0" w:color="00000A"/>
            </w:tcBorders>
            <w:shd w:fill="FFFFFF" w:val="clear"/>
            <w:tcMar>
              <w:left w:w="48" w:type="dxa"/>
            </w:tcMar>
          </w:tcPr>
          <w:p>
            <w:pPr>
              <w:pStyle w:val="Normal"/>
              <w:spacing w:before="0" w:after="60"/>
              <w:rPr>
                <w:rFonts w:cs="Arial"/>
                <w:sz w:val="14"/>
              </w:rPr>
            </w:pPr>
            <w:r>
              <w:rPr>
                <w:rFonts w:cs="Arial"/>
                <w:sz w:val="14"/>
              </w:rPr>
              <w:t>Beteiligte Dezernenten</w:t>
            </w:r>
          </w:p>
        </w:tc>
      </w:tr>
      <w:tr>
        <w:trPr>
          <w:cantSplit w:val="false"/>
        </w:trPr>
        <w:tc>
          <w:tcPr>
            <w:tcW w:w="2551" w:type="dxa"/>
            <w:tcBorders>
              <w:top w:val="nil"/>
              <w:left w:val="single" w:sz="6" w:space="0" w:color="00000A"/>
              <w:bottom w:val="single" w:sz="6" w:space="0" w:color="00000A"/>
              <w:insideH w:val="single" w:sz="6" w:space="0" w:color="00000A"/>
              <w:right w:val="nil"/>
              <w:insideV w:val="nil"/>
            </w:tcBorders>
            <w:shd w:fill="FFFFFF" w:val="clear"/>
            <w:tcMar>
              <w:left w:w="76" w:type="dxa"/>
            </w:tcMar>
          </w:tcPr>
          <w:p>
            <w:pPr>
              <w:pStyle w:val="Normal"/>
              <w:rPr>
                <w:rFonts w:cs="Arial"/>
                <w:sz w:val="24"/>
                <w:szCs w:val="24"/>
              </w:rPr>
            </w:pPr>
            <w:r>
              <w:rPr>
                <w:rFonts w:cs="Arial"/>
                <w:sz w:val="24"/>
                <w:szCs w:val="24"/>
              </w:rPr>
              <w:t>Gesundheitskarte für Flüchtlinge</w:t>
            </w:r>
          </w:p>
          <w:p>
            <w:pPr>
              <w:pStyle w:val="Normal"/>
              <w:rPr/>
            </w:pPr>
            <w:r>
              <w:rPr/>
            </w:r>
          </w:p>
          <w:p>
            <w:pPr>
              <w:pStyle w:val="Normal"/>
              <w:rPr/>
            </w:pPr>
            <w:r>
              <w:rPr/>
            </w:r>
          </w:p>
        </w:tc>
        <w:tc>
          <w:tcPr>
            <w:tcW w:w="7653" w:type="dxa"/>
            <w:gridSpan w:val="3"/>
            <w:tcBorders>
              <w:top w:val="nil"/>
              <w:left w:val="single" w:sz="12" w:space="0" w:color="00000A"/>
              <w:bottom w:val="single" w:sz="12" w:space="0" w:color="00000A"/>
              <w:insideH w:val="single" w:sz="12" w:space="0" w:color="00000A"/>
              <w:right w:val="single" w:sz="12" w:space="0" w:color="00000A"/>
              <w:insideV w:val="single" w:sz="12" w:space="0" w:color="00000A"/>
            </w:tcBorders>
            <w:shd w:fill="FFFFFF" w:val="clear"/>
            <w:tcMar>
              <w:left w:w="48" w:type="dxa"/>
            </w:tcMar>
          </w:tcPr>
          <w:p>
            <w:pPr>
              <w:pStyle w:val="Normal"/>
              <w:rPr/>
            </w:pPr>
            <w:bookmarkStart w:id="17" w:name="BDezernent"/>
            <w:bookmarkStart w:id="18" w:name="BDezernent"/>
            <w:bookmarkEnd w:id="18"/>
            <w:r>
              <w:rPr/>
            </w:r>
          </w:p>
        </w:tc>
      </w:tr>
    </w:tbl>
    <w:p>
      <w:pPr>
        <w:pStyle w:val="Normal"/>
        <w:ind w:left="0" w:right="283" w:hanging="0"/>
        <w:rPr/>
      </w:pPr>
      <w:r>
        <w:rPr/>
      </w:r>
    </w:p>
    <w:p>
      <w:pPr>
        <w:pStyle w:val="Normal"/>
        <w:rPr/>
      </w:pPr>
      <w:r>
        <w:rPr/>
      </w:r>
    </w:p>
    <w:p>
      <w:pPr>
        <w:pStyle w:val="Normal"/>
        <w:rPr/>
      </w:pPr>
      <w:r>
        <w:rPr/>
      </w:r>
    </w:p>
    <w:p>
      <w:pPr>
        <w:pStyle w:val="Normal"/>
        <w:spacing w:before="28" w:after="28"/>
        <w:rPr>
          <w:b/>
          <w:bCs/>
          <w:sz w:val="28"/>
          <w:szCs w:val="28"/>
        </w:rPr>
      </w:pPr>
      <w:r>
        <w:rPr>
          <w:b/>
          <w:bCs/>
          <w:sz w:val="28"/>
          <w:szCs w:val="28"/>
        </w:rPr>
        <w:t>Antrag: Gesundheitskarte für Flüchtlinge</w:t>
      </w:r>
    </w:p>
    <w:p>
      <w:pPr>
        <w:pStyle w:val="Normal"/>
        <w:spacing w:before="28" w:after="28"/>
        <w:rPr/>
      </w:pPr>
      <w:r>
        <w:rPr/>
      </w:r>
    </w:p>
    <w:p>
      <w:pPr>
        <w:pStyle w:val="Normal"/>
        <w:spacing w:before="28" w:after="28"/>
        <w:rPr/>
      </w:pPr>
      <w:r>
        <w:rPr/>
        <w:t xml:space="preserve">Sehr geehrter Herr Oberbürgermeister, </w:t>
      </w:r>
    </w:p>
    <w:p>
      <w:pPr>
        <w:pStyle w:val="Normal"/>
        <w:spacing w:before="28" w:after="28"/>
        <w:rPr/>
      </w:pPr>
      <w:r>
        <w:rPr/>
      </w:r>
    </w:p>
    <w:p>
      <w:pPr>
        <w:pStyle w:val="Normal"/>
        <w:spacing w:before="28" w:after="28"/>
        <w:rPr/>
      </w:pPr>
      <w:r>
        <w:rPr/>
        <w:t xml:space="preserve">der Rats-Pirat Martin Kesztyüs beantragt: </w:t>
      </w:r>
    </w:p>
    <w:p>
      <w:pPr>
        <w:pStyle w:val="Normal"/>
        <w:spacing w:before="28" w:after="28"/>
        <w:rPr/>
      </w:pPr>
      <w:r>
        <w:rPr/>
      </w:r>
    </w:p>
    <w:p>
      <w:pPr>
        <w:pStyle w:val="Normal"/>
        <w:spacing w:before="28" w:after="28"/>
        <w:rPr/>
      </w:pPr>
      <w:r>
        <w:rPr/>
      </w:r>
    </w:p>
    <w:p>
      <w:pPr>
        <w:pStyle w:val="Normal"/>
        <w:spacing w:before="28" w:after="28"/>
        <w:rPr/>
      </w:pPr>
      <w:r>
        <w:rPr/>
        <w:t>Der Sozialausschuss empfiehlt dem Rat folgenden Antrag anzunehmen:</w:t>
      </w:r>
    </w:p>
    <w:p>
      <w:pPr>
        <w:pStyle w:val="Normal"/>
        <w:spacing w:before="28" w:after="28"/>
        <w:rPr/>
      </w:pPr>
      <w:r>
        <w:rPr/>
      </w:r>
    </w:p>
    <w:p>
      <w:pPr>
        <w:pStyle w:val="Normal"/>
        <w:spacing w:before="28" w:after="28"/>
        <w:rPr/>
      </w:pPr>
      <w:r>
        <w:rPr/>
        <w:t>Die</w:t>
      </w:r>
      <w:r>
        <w:rPr/>
        <w:t xml:space="preserve"> Verwaltung wird beauftragt eine sogenannte Gesundheitskarte für Hamm zum 01.10.2016 einzuführen. </w:t>
      </w:r>
    </w:p>
    <w:p>
      <w:pPr>
        <w:pStyle w:val="Normal"/>
        <w:spacing w:before="28" w:after="28"/>
        <w:rPr/>
      </w:pPr>
      <w:r>
        <w:rPr/>
      </w:r>
    </w:p>
    <w:p>
      <w:pPr>
        <w:pStyle w:val="Normal"/>
        <w:spacing w:before="28" w:after="28"/>
        <w:rPr/>
      </w:pPr>
      <w:r>
        <w:rPr/>
        <w:t xml:space="preserve">Begründung: </w:t>
      </w:r>
    </w:p>
    <w:p>
      <w:pPr>
        <w:pStyle w:val="Normal"/>
        <w:spacing w:before="28" w:after="28"/>
        <w:rPr/>
      </w:pPr>
      <w:r>
        <w:rPr/>
      </w:r>
    </w:p>
    <w:p>
      <w:pPr>
        <w:pStyle w:val="Normal"/>
        <w:spacing w:before="28" w:after="28"/>
        <w:rPr/>
      </w:pPr>
      <w:r>
        <w:rPr/>
        <w:t>Der Presse war zu entnehmen, dass das Land NRW Verträge mit 8 Krankenversicherungen abgeschlossen hat, um in den Kommunen die Einführung der Gesundheitskarte zu ermöglichen. Vorteile davon sind das unkomplizierte Aufsuchen von Ärzten für die Flüchtlinge, die Minimierung bürokratischer Komplikationen in den Arztpraxen und verminderter Arbeitsaufwand für die Verwaltung, da weniger Nachfragen entstehen werden.</w:t>
      </w:r>
    </w:p>
    <w:p>
      <w:pPr>
        <w:pStyle w:val="Normal"/>
        <w:spacing w:before="28" w:after="28"/>
        <w:rPr/>
      </w:pPr>
      <w:r>
        <w:rPr/>
      </w:r>
    </w:p>
    <w:p>
      <w:pPr>
        <w:pStyle w:val="Normal"/>
        <w:spacing w:before="28" w:after="28"/>
        <w:rPr/>
      </w:pPr>
      <w:r>
        <w:rPr/>
        <w:t xml:space="preserve">Derzeit werden die Überweisungsscheine quartalsmäßig ausgestellt. Erhält der Flüchtling nun einen Termin für das folgende Quartal, so muss sie oder er sich einen neuen Überweisungsschein besorgen, was oft übersehen wird. Mehrere Arztpraxen stellen sich dann auf den Standpunkt, dass der Flüchtling nicht behandelt werden darf, soweit kein Notfall vorliegt. Der Flüchtling muss dann mit seinen Beschwerden erst wieder zu seinem zuständigen Sozialarbeiter, der ihm dann den Überweisungsschein für das aktuelle Quartal aushändigt. </w:t>
      </w:r>
    </w:p>
    <w:p>
      <w:pPr>
        <w:pStyle w:val="Normal"/>
        <w:spacing w:before="28" w:after="28"/>
        <w:rPr/>
      </w:pPr>
      <w:r>
        <w:rPr/>
      </w:r>
    </w:p>
    <w:p>
      <w:pPr>
        <w:pStyle w:val="Normal"/>
        <w:spacing w:before="28" w:after="28"/>
        <w:rPr/>
      </w:pPr>
      <w:r>
        <w:rPr/>
        <w:t>All der bürokratische Aufwand kann verhindert werden, indem den Flüchtlingen eine Gesundheitskarte ausgehändigt wird. Dann muss auch nicht mehr auf die Quartale der Überweisungsscheine geachtet werden. Das Land NRW hat den Weg dorthin geebnet. Die Stadt sollte nun endlich ab dem 01.10.2016 das Angebot annehmen und auch eine Gesundheitskarte einführen.</w:t>
      </w:r>
    </w:p>
    <w:p>
      <w:pPr>
        <w:pStyle w:val="Normal"/>
        <w:spacing w:before="28" w:after="28"/>
        <w:rPr/>
      </w:pPr>
      <w:r>
        <w:rPr/>
      </w:r>
    </w:p>
    <w:p>
      <w:pPr>
        <w:pStyle w:val="Normal"/>
        <w:spacing w:before="28" w:after="28"/>
        <w:rPr/>
      </w:pPr>
      <w:r>
        <w:rPr/>
        <w:t>Weitere Begründung erfolgt in der Ausschusssitzung.</w:t>
      </w:r>
    </w:p>
    <w:p>
      <w:pPr>
        <w:pStyle w:val="Normal"/>
        <w:spacing w:before="28" w:after="28"/>
        <w:rPr/>
      </w:pPr>
      <w:r>
        <w:rPr/>
      </w:r>
    </w:p>
    <w:p>
      <w:pPr>
        <w:pStyle w:val="Normal"/>
        <w:spacing w:before="28" w:after="28"/>
        <w:rPr>
          <w:rStyle w:val="Internetlink"/>
        </w:rPr>
      </w:pPr>
      <w:hyperlink r:id="rId2">
        <w:r>
          <w:rPr>
            <w:rStyle w:val="Internetlink"/>
          </w:rPr>
          <w:t>http://www.focus.de/regional/duesseldorf/fluechtlinge-zeitung-gesundheitskarte-auch-fuer-fluechtlinge-in-nrw_id_4908008.html</w:t>
        </w:r>
      </w:hyperlink>
    </w:p>
    <w:p>
      <w:pPr>
        <w:pStyle w:val="Normal"/>
        <w:spacing w:before="28" w:after="28"/>
        <w:rPr/>
      </w:pPr>
      <w:r>
        <w:rPr/>
      </w:r>
    </w:p>
    <w:p>
      <w:pPr>
        <w:pStyle w:val="Normal"/>
        <w:spacing w:before="28" w:after="28"/>
        <w:rPr/>
      </w:pPr>
      <w:hyperlink r:id="rId3">
        <w:r>
          <w:rPr>
            <w:rStyle w:val="Internetlink"/>
          </w:rPr>
          <w:t>http://www.ruhrnachrichten.de/nachrichten/vermischtes/aktuelles_berichte/Vertrag-unterzeichnet-NRW-fuehrt-Gesundheitskarte-fuer-Fluechtlinge-ein;art29854,2804086</w:t>
        </w:r>
      </w:hyperlink>
      <w:r>
        <w:rPr/>
        <w:t xml:space="preserve"> </w:t>
      </w:r>
    </w:p>
    <w:p>
      <w:pPr>
        <w:pStyle w:val="Normal"/>
        <w:spacing w:before="28" w:after="28"/>
        <w:rPr/>
      </w:pPr>
      <w:r>
        <w:rPr/>
      </w:r>
    </w:p>
    <w:p>
      <w:pPr>
        <w:pStyle w:val="Normal"/>
        <w:spacing w:before="28" w:after="28"/>
        <w:rPr/>
      </w:pPr>
      <w:r>
        <w:rPr/>
        <w:t>Mit freundlichen Grüßen</w:t>
      </w:r>
    </w:p>
    <w:p>
      <w:pPr>
        <w:pStyle w:val="Normal"/>
        <w:spacing w:before="28" w:after="28"/>
        <w:rPr/>
      </w:pPr>
      <w:r>
        <w:rPr/>
      </w:r>
    </w:p>
    <w:p>
      <w:pPr>
        <w:pStyle w:val="Normal"/>
        <w:spacing w:before="28" w:after="28"/>
        <w:rPr/>
      </w:pPr>
      <w:r>
        <w:rPr/>
        <w:t>Martin Kesztyüs</w:t>
      </w:r>
    </w:p>
    <w:sectPr>
      <w:type w:val="nextPage"/>
      <w:pgSz w:w="11906" w:h="16838"/>
      <w:pgMar w:left="1134" w:right="284" w:header="0" w:top="851" w:footer="0" w:bottom="1134" w:gutter="0"/>
      <w:pgNumType w:fmt="decimal"/>
      <w:formProt w:val="false"/>
      <w:textDirection w:val="lrTb"/>
      <w:docGrid w:type="default" w:linePitch="28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e-DE" w:eastAsia="zh-CN" w:bidi="hi-IN"/>
      </w:rPr>
    </w:rPrDefault>
    <w:pPrDefault>
      <w:pPr/>
    </w:pPrDefault>
  </w:docDefaults>
  <w:style w:type="paragraph" w:styleId="Normal">
    <w:name w:val="Normal"/>
    <w:pPr>
      <w:widowControl/>
      <w:tabs>
        <w:tab w:val="left" w:pos="708" w:leader="none"/>
      </w:tabs>
      <w:suppressAutoHyphens w:val="true"/>
      <w:bidi w:val="0"/>
      <w:spacing w:lineRule="atLeast" w:line="100" w:before="0" w:after="0"/>
      <w:jc w:val="left"/>
    </w:pPr>
    <w:rPr>
      <w:rFonts w:ascii="Arial" w:hAnsi="Arial" w:eastAsia="Times New Roman" w:cs="Times New Roman"/>
      <w:color w:val="00000A"/>
      <w:sz w:val="22"/>
      <w:szCs w:val="20"/>
      <w:lang w:val="de-DE" w:eastAsia="de-DE" w:bidi="ar-SA"/>
    </w:rPr>
  </w:style>
  <w:style w:type="paragraph" w:styleId="Berschrift1">
    <w:name w:val="Überschrift 1"/>
    <w:basedOn w:val="Berschrift"/>
    <w:pPr>
      <w:widowControl w:val="false"/>
      <w:suppressAutoHyphens w:val="true"/>
      <w:bidi w:val="0"/>
      <w:jc w:val="left"/>
    </w:pPr>
    <w:rPr>
      <w:rFonts w:ascii="Times New Roman" w:hAnsi="Times New Roman" w:eastAsia="DejaVu Sans" w:cs="DejaVu Sans"/>
      <w:b/>
      <w:bCs/>
      <w:color w:val="00000A"/>
      <w:sz w:val="48"/>
      <w:szCs w:val="48"/>
      <w:lang w:val="de-DE" w:eastAsia="zh-CN" w:bidi="hi-IN"/>
    </w:rPr>
  </w:style>
  <w:style w:type="character" w:styleId="DefaultParagraphFont">
    <w:name w:val="Default Paragraph Font"/>
    <w:rPr/>
  </w:style>
  <w:style w:type="character" w:styleId="Internetlink">
    <w:name w:val="Internetlink"/>
    <w:rPr>
      <w:color w:val="000080"/>
      <w:u w:val="single"/>
      <w:lang w:val="de-DE" w:eastAsia="de-DE" w:bidi="de-DE"/>
    </w:rPr>
  </w:style>
  <w:style w:type="paragraph" w:styleId="Berschrift">
    <w:name w:val="Überschrift"/>
    <w:basedOn w:val="Normal"/>
    <w:next w:val="Textkrper"/>
    <w:pPr>
      <w:keepNext/>
      <w:spacing w:before="240" w:after="120"/>
    </w:pPr>
    <w:rPr>
      <w:rFonts w:ascii="Arial" w:hAnsi="Arial" w:eastAsia="Droid Sans" w:cs="Lohit Hindi"/>
      <w:sz w:val="28"/>
      <w:szCs w:val="28"/>
    </w:rPr>
  </w:style>
  <w:style w:type="paragraph" w:styleId="Textkrper">
    <w:name w:val="Textkörper"/>
    <w:basedOn w:val="Normal"/>
    <w:pPr>
      <w:spacing w:lineRule="auto" w:line="288" w:before="0" w:after="120"/>
    </w:pPr>
    <w:rPr/>
  </w:style>
  <w:style w:type="paragraph" w:styleId="Liste">
    <w:name w:val="Liste"/>
    <w:basedOn w:val="Textkrper"/>
    <w:pPr/>
    <w:rPr>
      <w:rFonts w:cs="Lohit Hindi"/>
    </w:rPr>
  </w:style>
  <w:style w:type="paragraph" w:styleId="Beschriftung">
    <w:name w:val="Beschriftung"/>
    <w:basedOn w:val="Normal"/>
    <w:pPr>
      <w:suppressLineNumbers/>
      <w:spacing w:before="120" w:after="120"/>
    </w:pPr>
    <w:rPr>
      <w:rFonts w:cs="Lohit Hindi"/>
      <w:i/>
      <w:iCs/>
      <w:sz w:val="24"/>
      <w:szCs w:val="24"/>
    </w:rPr>
  </w:style>
  <w:style w:type="paragraph" w:styleId="Verzeichnis">
    <w:name w:val="Verzeichnis"/>
    <w:basedOn w:val="Normal"/>
    <w:pPr>
      <w:suppressLineNumbers/>
    </w:pPr>
    <w:rPr>
      <w:rFonts w:cs="Lohit Hindi"/>
    </w:rPr>
  </w:style>
  <w:style w:type="paragraph" w:styleId="TextBody">
    <w:name w:val="Text Body"/>
    <w:basedOn w:val="Normal"/>
    <w:pPr>
      <w:spacing w:lineRule="auto" w:line="288" w:before="0" w:after="14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ocus.de/regional/duesseldorf/fluechtlinge-zeitung-gesundheitskarte-auch-fuer-fluechtlinge-in-nrw_id_4908008.html" TargetMode="External"/><Relationship Id="rId3" Type="http://schemas.openxmlformats.org/officeDocument/2006/relationships/hyperlink" Target="http://www.ruhrnachrichten.de/nachrichten/vermischtes/aktuelles_berichte/Vertrag-unterzeichnet-NRW-fuehrt-Gesundheitskarte-fuer-Fluechtlinge-ein;art29854,2804086"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2014-07-16T15:06:00Z</dcterms:created>
  <dc:creator>Die-Linke-Fraktion</dc:creator>
  <dc:language>de-DE</dc:language>
  <cp:lastModifiedBy>Die-Linke-Fraktion</cp:lastModifiedBy>
  <dcterms:modified xsi:type="dcterms:W3CDTF">2014-07-16T15:07:00Z</dcterms:modified>
  <cp:revision>1</cp:revision>
</cp:coreProperties>
</file>