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79" w:type="dxa"/>
        <w:tblBorders>
          <w:top w:val="nil"/>
          <w:left w:val="nil"/>
          <w:bottom w:val="nil"/>
          <w:insideH w:val="nil"/>
          <w:right w:val="nil"/>
          <w:insideV w:val="nil"/>
        </w:tblBorders>
        <w:tblCellMar>
          <w:top w:w="0" w:type="dxa"/>
          <w:left w:w="108" w:type="dxa"/>
          <w:bottom w:w="0" w:type="dxa"/>
          <w:right w:w="108" w:type="dxa"/>
        </w:tblCellMar>
      </w:tblPr>
      <w:tblGrid>
        <w:gridCol w:w="2551"/>
        <w:gridCol w:w="2551"/>
        <w:gridCol w:w="2551"/>
        <w:gridCol w:w="2551"/>
      </w:tblGrid>
      <w:tr>
        <w:trPr>
          <w:cantSplit w:val="false"/>
        </w:trPr>
        <w:tc>
          <w:tcPr>
            <w:tcW w:w="2551" w:type="dxa"/>
            <w:tcBorders>
              <w:top w:val="nil"/>
              <w:left w:val="nil"/>
              <w:bottom w:val="nil"/>
              <w:insideH w:val="nil"/>
              <w:right w:val="nil"/>
              <w:insideV w:val="nil"/>
            </w:tcBorders>
            <w:shd w:fill="FFFFFF" w:val="clear"/>
          </w:tcPr>
          <w:p>
            <w:pPr>
              <w:pStyle w:val="Normal"/>
              <w:rPr>
                <w:rFonts w:cs="Arial"/>
                <w:sz w:val="30"/>
              </w:rPr>
            </w:pPr>
            <w:r>
              <w:rPr>
                <w:rFonts w:cs="Arial"/>
                <w:sz w:val="30"/>
              </w:rPr>
              <w:t>Antrag</w:t>
            </w:r>
          </w:p>
        </w:tc>
        <w:tc>
          <w:tcPr>
            <w:tcW w:w="2551" w:type="dxa"/>
            <w:tcBorders>
              <w:top w:val="nil"/>
              <w:left w:val="nil"/>
              <w:bottom w:val="nil"/>
              <w:insideH w:val="nil"/>
              <w:right w:val="nil"/>
              <w:insideV w:val="nil"/>
            </w:tcBorders>
            <w:shd w:fill="FFFFFF" w:val="clear"/>
          </w:tcPr>
          <w:p>
            <w:pPr>
              <w:pStyle w:val="Normal"/>
              <w:spacing w:before="0" w:after="60"/>
              <w:rPr>
                <w:rFonts w:cs="Arial"/>
                <w:sz w:val="14"/>
              </w:rPr>
            </w:pPr>
            <w:r>
              <w:rPr>
                <w:rFonts w:cs="Arial"/>
                <w:sz w:val="14"/>
              </w:rPr>
              <w:t>Datum</w:t>
            </w:r>
          </w:p>
        </w:tc>
        <w:tc>
          <w:tcPr>
            <w:tcW w:w="5102"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76" w:type="dxa"/>
            </w:tcMar>
          </w:tcPr>
          <w:p>
            <w:pPr>
              <w:pStyle w:val="Normal"/>
              <w:spacing w:before="0" w:after="60"/>
              <w:rPr>
                <w:rFonts w:cs="Arial"/>
                <w:sz w:val="14"/>
              </w:rPr>
            </w:pPr>
            <w:r>
              <w:rPr>
                <w:rFonts w:cs="Arial"/>
                <w:sz w:val="14"/>
              </w:rPr>
              <w:t>Nummer</w:t>
            </w:r>
          </w:p>
        </w:tc>
      </w:tr>
      <w:tr>
        <w:trPr>
          <w:cantSplit w:val="false"/>
        </w:trPr>
        <w:tc>
          <w:tcPr>
            <w:tcW w:w="2551" w:type="dxa"/>
            <w:tcBorders>
              <w:top w:val="nil"/>
              <w:left w:val="nil"/>
              <w:bottom w:val="nil"/>
              <w:insideH w:val="nil"/>
              <w:right w:val="nil"/>
              <w:insideV w:val="nil"/>
            </w:tcBorders>
            <w:shd w:fill="FFFFFF" w:val="clear"/>
          </w:tcPr>
          <w:p>
            <w:pPr>
              <w:pStyle w:val="Normal"/>
              <w:rPr/>
            </w:pPr>
            <w:bookmarkStart w:id="0" w:name="AAAVorlage"/>
            <w:bookmarkStart w:id="1" w:name="AAAVorlage"/>
            <w:bookmarkEnd w:id="1"/>
            <w:r>
              <w:rPr/>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r>
              <w:rPr>
                <w:rFonts w:cs="Arial"/>
                <w:szCs w:val="22"/>
              </w:rPr>
              <w:t>1</w:t>
            </w:r>
            <w:r>
              <w:rPr>
                <w:rFonts w:cs="Arial"/>
                <w:szCs w:val="22"/>
              </w:rPr>
              <w:t>6</w:t>
            </w:r>
            <w:r>
              <w:rPr>
                <w:rFonts w:cs="Arial"/>
                <w:szCs w:val="22"/>
              </w:rPr>
              <w:t>.3.2015</w:t>
            </w:r>
          </w:p>
        </w:tc>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Cs w:val="22"/>
              </w:rPr>
            </w:pPr>
            <w:r>
              <w:rPr>
                <w:rFonts w:cs="Arial"/>
                <w:szCs w:val="22"/>
              </w:rPr>
              <w:t>0002/15</w:t>
            </w:r>
          </w:p>
        </w:tc>
        <w:tc>
          <w:tcPr>
            <w:tcW w:w="2551" w:type="dxa"/>
            <w:tcBorders>
              <w:top w:val="nil"/>
              <w:left w:val="nil"/>
              <w:bottom w:val="single" w:sz="6" w:space="0" w:color="00000A"/>
              <w:insideH w:val="single" w:sz="6" w:space="0" w:color="00000A"/>
              <w:right w:val="single" w:sz="6" w:space="0" w:color="00000A"/>
              <w:insideV w:val="single" w:sz="6" w:space="0" w:color="00000A"/>
            </w:tcBorders>
            <w:shd w:fill="FFFFFF" w:val="clear"/>
          </w:tcPr>
          <w:p>
            <w:pPr>
              <w:pStyle w:val="Normal"/>
              <w:rPr>
                <w:rFonts w:cs="Arial"/>
                <w:szCs w:val="22"/>
              </w:rPr>
            </w:pPr>
            <w:bookmarkStart w:id="2" w:name="Nichtöffentlich"/>
            <w:bookmarkEnd w:id="2"/>
            <w:r>
              <w:rPr>
                <w:rFonts w:cs="Arial"/>
                <w:szCs w:val="22"/>
              </w:rPr>
              <w:t xml:space="preserve"> </w:t>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76" w:type="dxa"/>
            </w:tcMar>
          </w:tcPr>
          <w:p>
            <w:pPr>
              <w:pStyle w:val="Normal"/>
              <w:spacing w:before="0" w:after="60"/>
              <w:rPr>
                <w:rFonts w:cs="Arial"/>
                <w:sz w:val="14"/>
              </w:rPr>
            </w:pPr>
            <w:r>
              <w:rPr>
                <w:rFonts w:cs="Arial"/>
                <w:sz w:val="14"/>
              </w:rPr>
              <w:t>Absender</w:t>
            </w:r>
          </w:p>
        </w:tc>
        <w:tc>
          <w:tcPr>
            <w:tcW w:w="7653" w:type="dxa"/>
            <w:gridSpan w:val="3"/>
            <w:tcBorders>
              <w:top w:val="single" w:sz="12"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rPr>
                <w:rFonts w:cs="Arial"/>
                <w:b/>
                <w:color w:val="FF0000"/>
                <w:sz w:val="14"/>
              </w:rPr>
            </w:pPr>
            <w:r>
              <w:rPr>
                <w:rFonts w:cs="Arial"/>
                <w:b/>
                <w:color w:val="FF0000"/>
                <w:sz w:val="14"/>
              </w:rPr>
              <w:t>Wird von der Verwaltung ausgefüllt</w:t>
            </w:r>
          </w:p>
          <w:p>
            <w:pPr>
              <w:pStyle w:val="Normal"/>
              <w:rPr>
                <w:rFonts w:cs="Arial"/>
                <w:sz w:val="14"/>
              </w:rPr>
            </w:pPr>
            <w:r>
              <w:rPr>
                <w:rFonts w:cs="Arial"/>
                <w:sz w:val="14"/>
              </w:rPr>
              <w:t>Aufgenommen in d. TO d. Sitzung d. Gremiums</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Cs w:val="22"/>
              </w:rPr>
            </w:pPr>
            <w:r>
              <w:rPr>
                <w:rFonts w:cs="Arial"/>
                <w:szCs w:val="22"/>
              </w:rPr>
              <w:t>Ratsherr Martin Kesztyüs</w:t>
            </w:r>
          </w:p>
          <w:p>
            <w:pPr>
              <w:pStyle w:val="Normal"/>
              <w:rPr>
                <w:rFonts w:cs="Arial"/>
                <w:szCs w:val="22"/>
              </w:rPr>
            </w:pPr>
            <w:r>
              <w:rPr>
                <w:rFonts w:cs="Arial"/>
                <w:szCs w:val="22"/>
              </w:rPr>
              <w:t>Friesenstr. 12</w:t>
            </w:r>
          </w:p>
          <w:p>
            <w:pPr>
              <w:pStyle w:val="Normal"/>
              <w:rPr>
                <w:rFonts w:cs="Arial"/>
                <w:szCs w:val="22"/>
              </w:rPr>
            </w:pPr>
            <w:bookmarkStart w:id="3" w:name="Absender"/>
            <w:r>
              <w:rPr>
                <w:rFonts w:cs="Arial"/>
                <w:szCs w:val="22"/>
              </w:rPr>
              <w:t>5</w:t>
            </w:r>
            <w:bookmarkEnd w:id="3"/>
            <w:r>
              <w:rPr>
                <w:rFonts w:cs="Arial"/>
                <w:szCs w:val="22"/>
              </w:rPr>
              <w:t>9067</w:t>
            </w:r>
          </w:p>
          <w:p>
            <w:pPr>
              <w:pStyle w:val="Normal"/>
              <w:rPr>
                <w:rFonts w:cs="Arial"/>
                <w:szCs w:val="22"/>
              </w:rPr>
            </w:pPr>
            <w:r>
              <w:rPr>
                <w:rFonts w:cs="Arial"/>
                <w:szCs w:val="22"/>
              </w:rPr>
              <w:t>Hamm</w:t>
            </w:r>
          </w:p>
        </w:tc>
        <w:tc>
          <w:tcPr>
            <w:tcW w:w="7653" w:type="dxa"/>
            <w:gridSpan w:val="3"/>
            <w:tcBorders>
              <w:top w:val="nil"/>
              <w:left w:val="single" w:sz="12" w:space="0" w:color="00000A"/>
              <w:bottom w:val="nil"/>
              <w:insideH w:val="nil"/>
              <w:right w:val="single" w:sz="12" w:space="0" w:color="00000A"/>
              <w:insideV w:val="single" w:sz="12" w:space="0" w:color="00000A"/>
            </w:tcBorders>
            <w:shd w:fill="FFFFFF" w:val="clear"/>
            <w:tcMar>
              <w:left w:w="48" w:type="dxa"/>
            </w:tcMar>
          </w:tcPr>
          <w:p>
            <w:pPr>
              <w:pStyle w:val="Normal"/>
              <w:rPr/>
            </w:pPr>
            <w:bookmarkStart w:id="4" w:name="Datum"/>
            <w:bookmarkStart w:id="5" w:name="BeschlußorganVW"/>
            <w:bookmarkStart w:id="6" w:name="Datum"/>
            <w:bookmarkStart w:id="7" w:name="BeschlußorganVW"/>
            <w:bookmarkEnd w:id="6"/>
            <w:bookmarkEnd w:id="7"/>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76" w:type="dxa"/>
            </w:tcMar>
          </w:tcPr>
          <w:p>
            <w:pPr>
              <w:pStyle w:val="Normal"/>
              <w:spacing w:before="0" w:after="60"/>
              <w:rPr>
                <w:rFonts w:cs="Arial"/>
                <w:sz w:val="14"/>
              </w:rPr>
            </w:pPr>
            <w:r>
              <w:rPr>
                <w:rFonts w:cs="Arial"/>
                <w:sz w:val="14"/>
              </w:rPr>
              <w:t>Adressat</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spacing w:before="0" w:after="60"/>
              <w:rPr>
                <w:rFonts w:cs="Arial"/>
                <w:sz w:val="14"/>
              </w:rPr>
            </w:pPr>
            <w:r>
              <w:rPr>
                <w:rFonts w:cs="Arial"/>
                <w:sz w:val="14"/>
              </w:rPr>
              <w:t>am</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Cs w:val="22"/>
              </w:rPr>
            </w:pPr>
            <w:r>
              <w:rPr>
                <w:rFonts w:cs="Arial"/>
                <w:szCs w:val="22"/>
              </w:rPr>
              <w:t>Herrn Oberbürgermeister Thomas Hunsteger-Petermann</w:t>
            </w:r>
          </w:p>
          <w:p>
            <w:pPr>
              <w:pStyle w:val="Normal"/>
              <w:rPr>
                <w:rFonts w:cs="Arial"/>
                <w:szCs w:val="22"/>
              </w:rPr>
            </w:pPr>
            <w:r>
              <w:rPr>
                <w:rFonts w:cs="Arial"/>
                <w:szCs w:val="22"/>
              </w:rPr>
              <w:t xml:space="preserve">Theodor-Heuss-Platz 16 </w:t>
            </w:r>
          </w:p>
          <w:p>
            <w:pPr>
              <w:pStyle w:val="Normal"/>
              <w:rPr>
                <w:rFonts w:cs="Arial"/>
                <w:szCs w:val="22"/>
              </w:rPr>
            </w:pPr>
            <w:bookmarkStart w:id="8" w:name="Adressat"/>
            <w:bookmarkEnd w:id="8"/>
            <w:r>
              <w:rPr>
                <w:rFonts w:cs="Arial"/>
                <w:szCs w:val="22"/>
              </w:rPr>
              <w:t>59065 Hamm</w:t>
            </w:r>
          </w:p>
        </w:tc>
        <w:tc>
          <w:tcPr>
            <w:tcW w:w="7653" w:type="dxa"/>
            <w:gridSpan w:val="3"/>
            <w:tcBorders>
              <w:top w:val="nil"/>
              <w:left w:val="single" w:sz="12" w:space="0" w:color="00000A"/>
              <w:bottom w:val="single" w:sz="6" w:space="0" w:color="00000A"/>
              <w:insideH w:val="single" w:sz="6" w:space="0" w:color="00000A"/>
              <w:right w:val="single" w:sz="12" w:space="0" w:color="00000A"/>
              <w:insideV w:val="single" w:sz="12" w:space="0" w:color="00000A"/>
            </w:tcBorders>
            <w:shd w:fill="FFFFFF" w:val="clear"/>
            <w:tcMar>
              <w:left w:w="48" w:type="dxa"/>
            </w:tcMar>
          </w:tcPr>
          <w:p>
            <w:pPr>
              <w:pStyle w:val="Normal"/>
              <w:rPr/>
            </w:pPr>
            <w:bookmarkStart w:id="9" w:name="Genehmigung"/>
            <w:bookmarkStart w:id="10" w:name="BeschlußorganTerminVW"/>
            <w:bookmarkStart w:id="11" w:name="Genehmigung"/>
            <w:bookmarkStart w:id="12" w:name="BeschlußorganTerminVW"/>
            <w:bookmarkEnd w:id="11"/>
            <w:bookmarkEnd w:id="12"/>
            <w:r>
              <w:rPr/>
            </w:r>
          </w:p>
        </w:tc>
      </w:tr>
      <w:tr>
        <w:trPr>
          <w:cantSplit w:val="false"/>
        </w:trPr>
        <w:tc>
          <w:tcPr>
            <w:tcW w:w="2551" w:type="dxa"/>
            <w:tcBorders>
              <w:top w:val="single" w:sz="6" w:space="0" w:color="00000A"/>
              <w:left w:val="single" w:sz="6" w:space="0" w:color="00000A"/>
              <w:bottom w:val="nil"/>
              <w:insideH w:val="nil"/>
              <w:right w:val="single" w:sz="6" w:space="0" w:color="00000A"/>
              <w:insideV w:val="single" w:sz="6" w:space="0" w:color="00000A"/>
            </w:tcBorders>
            <w:shd w:fill="FFFFFF" w:val="clear"/>
            <w:tcMar>
              <w:left w:w="76" w:type="dxa"/>
            </w:tcMar>
          </w:tcPr>
          <w:p>
            <w:pPr>
              <w:pStyle w:val="Normal"/>
              <w:spacing w:before="0" w:after="60"/>
              <w:rPr>
                <w:rFonts w:cs="Arial"/>
                <w:sz w:val="14"/>
              </w:rPr>
            </w:pPr>
            <w:r>
              <w:rPr>
                <w:rFonts w:cs="Arial"/>
                <w:sz w:val="14"/>
              </w:rPr>
              <w:t>Gremium</w:t>
            </w:r>
          </w:p>
        </w:tc>
        <w:tc>
          <w:tcPr>
            <w:tcW w:w="2551" w:type="dxa"/>
            <w:tcBorders>
              <w:top w:val="single" w:sz="6" w:space="0" w:color="00000A"/>
              <w:left w:val="nil"/>
              <w:bottom w:val="nil"/>
              <w:insideH w:val="nil"/>
              <w:right w:val="nil"/>
              <w:insideV w:val="nil"/>
            </w:tcBorders>
            <w:shd w:fill="FFFFFF" w:val="clear"/>
          </w:tcPr>
          <w:p>
            <w:pPr>
              <w:pStyle w:val="Normal"/>
              <w:spacing w:before="0" w:after="60"/>
              <w:rPr>
                <w:rFonts w:cs="Arial"/>
                <w:sz w:val="14"/>
              </w:rPr>
            </w:pPr>
            <w:r>
              <w:rPr>
                <w:rFonts w:cs="Arial"/>
                <w:sz w:val="14"/>
              </w:rPr>
              <w:t>Sitzungstermin</w:t>
            </w:r>
          </w:p>
        </w:tc>
        <w:tc>
          <w:tcPr>
            <w:tcW w:w="5102" w:type="dxa"/>
            <w:gridSpan w:val="2"/>
            <w:tcBorders>
              <w:top w:val="single" w:sz="6"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spacing w:before="0" w:after="60"/>
              <w:rPr>
                <w:rFonts w:cs="Arial"/>
                <w:sz w:val="14"/>
              </w:rPr>
            </w:pPr>
            <w:r>
              <w:rPr>
                <w:rFonts w:cs="Arial"/>
                <w:sz w:val="14"/>
              </w:rPr>
              <w:t>Federführender Dezernent</w:t>
            </w:r>
          </w:p>
        </w:tc>
      </w:tr>
      <w:tr>
        <w:trPr>
          <w:cantSplit w:val="false"/>
        </w:trPr>
        <w:tc>
          <w:tcPr>
            <w:tcW w:w="2551"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76" w:type="dxa"/>
            </w:tcMar>
          </w:tcPr>
          <w:p>
            <w:pPr>
              <w:pStyle w:val="Normal"/>
              <w:rPr>
                <w:rFonts w:cs="Arial"/>
                <w:szCs w:val="22"/>
              </w:rPr>
            </w:pPr>
            <w:bookmarkStart w:id="13" w:name="Beschlußorgan"/>
            <w:bookmarkEnd w:id="13"/>
            <w:r>
              <w:rPr>
                <w:rFonts w:cs="Arial"/>
                <w:szCs w:val="22"/>
              </w:rPr>
              <w:t>Rat</w:t>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bookmarkStart w:id="14" w:name="BeschlußorganTermin"/>
            <w:bookmarkEnd w:id="14"/>
            <w:r>
              <w:rPr>
                <w:rFonts w:cs="Arial"/>
                <w:szCs w:val="22"/>
              </w:rPr>
              <w:t>24.03.2015 16:00</w:t>
            </w:r>
          </w:p>
        </w:tc>
        <w:tc>
          <w:tcPr>
            <w:tcW w:w="5102" w:type="dxa"/>
            <w:gridSpan w:val="2"/>
            <w:tcBorders>
              <w:top w:val="nil"/>
              <w:left w:val="single" w:sz="12" w:space="0" w:color="00000A"/>
              <w:bottom w:val="nil"/>
              <w:insideH w:val="nil"/>
              <w:right w:val="single" w:sz="12" w:space="0" w:color="00000A"/>
              <w:insideV w:val="single" w:sz="12" w:space="0" w:color="00000A"/>
            </w:tcBorders>
            <w:shd w:fill="FFFFFF" w:val="clear"/>
            <w:tcMar>
              <w:left w:w="48" w:type="dxa"/>
            </w:tcMar>
          </w:tcPr>
          <w:p>
            <w:pPr>
              <w:pStyle w:val="Normal"/>
              <w:rPr/>
            </w:pPr>
            <w:bookmarkStart w:id="15" w:name="FDezernent"/>
            <w:bookmarkStart w:id="16" w:name="FDezernent"/>
            <w:bookmarkEnd w:id="16"/>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76" w:type="dxa"/>
            </w:tcMar>
          </w:tcPr>
          <w:p>
            <w:pPr>
              <w:pStyle w:val="Normal"/>
              <w:spacing w:before="0" w:after="60"/>
              <w:rPr>
                <w:rFonts w:cs="Arial"/>
                <w:sz w:val="14"/>
              </w:rPr>
            </w:pPr>
            <w:r>
              <w:rPr>
                <w:rFonts w:cs="Arial"/>
                <w:sz w:val="14"/>
              </w:rPr>
              <w:t>Betreff</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spacing w:before="0" w:after="60"/>
              <w:rPr>
                <w:rFonts w:cs="Arial"/>
                <w:sz w:val="14"/>
              </w:rPr>
            </w:pPr>
            <w:r>
              <w:rPr>
                <w:rFonts w:cs="Arial"/>
                <w:sz w:val="14"/>
              </w:rPr>
              <w:t>Beteiligte Dezernenten</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 w:val="24"/>
                <w:szCs w:val="24"/>
              </w:rPr>
            </w:pPr>
            <w:r>
              <w:rPr>
                <w:rFonts w:cs="Arial"/>
                <w:sz w:val="24"/>
                <w:szCs w:val="24"/>
              </w:rPr>
              <w:t>Maschinenlesbarer Haushalt</w:t>
            </w:r>
          </w:p>
          <w:p>
            <w:pPr>
              <w:pStyle w:val="Normal"/>
              <w:rPr/>
            </w:pPr>
            <w:r>
              <w:rPr/>
            </w:r>
          </w:p>
          <w:p>
            <w:pPr>
              <w:pStyle w:val="Normal"/>
              <w:rPr/>
            </w:pPr>
            <w:r>
              <w:rPr/>
            </w:r>
          </w:p>
        </w:tc>
        <w:tc>
          <w:tcPr>
            <w:tcW w:w="7653" w:type="dxa"/>
            <w:gridSpan w:val="3"/>
            <w:tcBorders>
              <w:top w:val="nil"/>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48" w:type="dxa"/>
            </w:tcMar>
          </w:tcPr>
          <w:p>
            <w:pPr>
              <w:pStyle w:val="Normal"/>
              <w:rPr/>
            </w:pPr>
            <w:bookmarkStart w:id="17" w:name="BDezernent"/>
            <w:bookmarkStart w:id="18" w:name="BDezernent"/>
            <w:bookmarkEnd w:id="18"/>
            <w:r>
              <w:rPr/>
            </w:r>
          </w:p>
        </w:tc>
      </w:tr>
    </w:tbl>
    <w:p>
      <w:pPr>
        <w:pStyle w:val="Normal"/>
        <w:ind w:left="0" w:right="283" w:hanging="0"/>
        <w:rPr/>
      </w:pPr>
      <w:r>
        <w:rPr/>
      </w:r>
    </w:p>
    <w:p>
      <w:pPr>
        <w:pStyle w:val="Normal"/>
        <w:rPr/>
      </w:pPr>
      <w:r>
        <w:rPr/>
      </w:r>
    </w:p>
    <w:p>
      <w:pPr>
        <w:pStyle w:val="Normal"/>
        <w:rPr/>
      </w:pPr>
      <w:r>
        <w:rPr/>
      </w:r>
    </w:p>
    <w:p>
      <w:pPr>
        <w:pStyle w:val="Normal"/>
        <w:spacing w:before="28" w:after="28"/>
        <w:rPr>
          <w:b/>
          <w:bCs/>
          <w:sz w:val="28"/>
          <w:szCs w:val="28"/>
        </w:rPr>
      </w:pPr>
      <w:r>
        <w:rPr>
          <w:b/>
          <w:bCs/>
          <w:sz w:val="28"/>
          <w:szCs w:val="28"/>
        </w:rPr>
        <w:t>Antrag: Veröffentlichung von maschinenlesbaren Haushaltsdaten</w:t>
      </w:r>
    </w:p>
    <w:p>
      <w:pPr>
        <w:pStyle w:val="Normal"/>
        <w:spacing w:before="28" w:after="28"/>
        <w:rPr/>
      </w:pPr>
      <w:r>
        <w:rPr/>
      </w:r>
    </w:p>
    <w:p>
      <w:pPr>
        <w:pStyle w:val="Normal"/>
        <w:spacing w:before="28" w:after="28"/>
        <w:rPr/>
      </w:pPr>
      <w:r>
        <w:rPr/>
        <w:t xml:space="preserve">Sehr geehrter Herr Oberbürgermeister, </w:t>
      </w:r>
    </w:p>
    <w:p>
      <w:pPr>
        <w:pStyle w:val="Normal"/>
        <w:spacing w:before="28" w:after="28"/>
        <w:rPr/>
      </w:pPr>
      <w:r>
        <w:rPr/>
      </w:r>
    </w:p>
    <w:p>
      <w:pPr>
        <w:pStyle w:val="Normal"/>
        <w:spacing w:before="28" w:after="28"/>
        <w:rPr/>
      </w:pPr>
      <w:r>
        <w:rPr/>
        <w:t xml:space="preserve">der Rats-Pirat Martin Kesztyüs beantragt: </w:t>
      </w:r>
    </w:p>
    <w:p>
      <w:pPr>
        <w:pStyle w:val="Normal"/>
        <w:spacing w:before="28" w:after="28"/>
        <w:rPr/>
      </w:pPr>
      <w:r>
        <w:rPr/>
      </w:r>
    </w:p>
    <w:p>
      <w:pPr>
        <w:pStyle w:val="Normal"/>
        <w:spacing w:before="28" w:after="28"/>
        <w:rPr/>
      </w:pPr>
      <w:r>
        <w:rPr/>
        <w:t>Der Rat möge beschließen:</w:t>
      </w:r>
    </w:p>
    <w:p>
      <w:pPr>
        <w:pStyle w:val="Normal"/>
        <w:spacing w:before="28" w:after="28"/>
        <w:rPr/>
      </w:pPr>
      <w:r>
        <w:rPr/>
        <w:t xml:space="preserve">Die Verwaltung wird beauftragt, maschinenlesbare Haushaltsdaten auf </w:t>
      </w:r>
      <w:r>
        <w:rPr/>
        <w:t>den</w:t>
      </w:r>
      <w:r>
        <w:rPr/>
        <w:t xml:space="preserve"> Webseiten </w:t>
      </w:r>
      <w:r>
        <w:rPr/>
        <w:t xml:space="preserve">der Stadt </w:t>
      </w:r>
      <w:r>
        <w:rPr/>
        <w:t>zu veröffentlichen, sobald diese Daten vorliegen,</w:t>
      </w:r>
    </w:p>
    <w:p>
      <w:pPr>
        <w:pStyle w:val="Normal"/>
        <w:spacing w:before="28" w:after="28"/>
        <w:rPr/>
      </w:pPr>
      <w:r>
        <w:rPr/>
        <w:t>mindestens aber innerhalb von 2 Wochen nach der ersten Vorlage im Rat. Im Einzelnen soll dies durchgeführt werden für</w:t>
      </w:r>
    </w:p>
    <w:p>
      <w:pPr>
        <w:pStyle w:val="Normal"/>
        <w:spacing w:before="28" w:after="28"/>
        <w:rPr/>
      </w:pPr>
      <w:r>
        <w:rPr/>
        <w:t>a) Die haushaltswirtschaftlichen (Eck-)Daten</w:t>
      </w:r>
    </w:p>
    <w:p>
      <w:pPr>
        <w:pStyle w:val="Normal"/>
        <w:spacing w:before="28" w:after="28"/>
        <w:rPr/>
      </w:pPr>
      <w:r>
        <w:rPr/>
        <w:t>b) die Stadthaushaltsrechnung</w:t>
      </w:r>
    </w:p>
    <w:p>
      <w:pPr>
        <w:pStyle w:val="Normal"/>
        <w:spacing w:before="28" w:after="28"/>
        <w:rPr/>
      </w:pPr>
      <w:r>
        <w:rPr/>
        <w:t>c) den Entwurf des Haushaltsplans sowie die ggf. geänderten Vorlagen und die schlussendlich beschlossene Version.</w:t>
      </w:r>
    </w:p>
    <w:p>
      <w:pPr>
        <w:pStyle w:val="Normal"/>
        <w:spacing w:before="28" w:after="28"/>
        <w:rPr/>
      </w:pPr>
      <w:r>
        <w:rPr/>
      </w:r>
    </w:p>
    <w:p>
      <w:pPr>
        <w:pStyle w:val="Normal"/>
        <w:spacing w:before="28" w:after="28"/>
        <w:rPr/>
      </w:pPr>
      <w:r>
        <w:rPr/>
      </w:r>
    </w:p>
    <w:p>
      <w:pPr>
        <w:pStyle w:val="Normal"/>
        <w:spacing w:before="28" w:after="28"/>
        <w:rPr/>
      </w:pPr>
      <w:r>
        <w:rPr/>
        <w:t>Begründung</w:t>
      </w:r>
    </w:p>
    <w:p>
      <w:pPr>
        <w:pStyle w:val="Normal"/>
        <w:spacing w:before="28" w:after="28"/>
        <w:rPr/>
      </w:pPr>
      <w:r>
        <w:rPr/>
        <w:t>Durch eine bearbeitbare Darstellung der Haushaltsplanung und der eröffneten Möglichkeit, die zugehörigen Dokumente nach frei festzulegenden Kriterien zu filtern, kann bürgernahe Transparenz in Haushaltsfragen gewährleistet werden. Datenschutzrechtliche Gründe, die einer Veröffentlichung zuwiderstehen, existieren nach gegenwärtigem Wissensstand nicht.</w:t>
      </w:r>
    </w:p>
    <w:p>
      <w:pPr>
        <w:pStyle w:val="Normal"/>
        <w:spacing w:before="28" w:after="28"/>
        <w:rPr/>
      </w:pPr>
      <w:r>
        <w:rPr/>
        <w:t>Vielmehr haben die Bürger nach dem Informationsfreiheitsgesetz einen Rechtsanspruch auf diese Informationen und müssen sich zumindest darauf verlassen können, dass die Ratsmitglieder hinreichende Möglichkeiten zur Einsichtnahme in alle erforderlichen Unterlagen hatten.</w:t>
      </w:r>
    </w:p>
    <w:p>
      <w:pPr>
        <w:pStyle w:val="Normal"/>
        <w:spacing w:before="28" w:after="28"/>
        <w:rPr/>
      </w:pPr>
      <w:r>
        <w:rPr/>
        <w:t>Dabei nehme ich insbesondere Bezug auf § 23 (1) GO NRW.</w:t>
      </w:r>
    </w:p>
    <w:p>
      <w:pPr>
        <w:pStyle w:val="Normal"/>
        <w:spacing w:before="28" w:after="28"/>
        <w:rPr/>
      </w:pPr>
      <w:r>
        <w:rPr/>
        <w:t>§ 23 Unterrichtung der Einwohner:</w:t>
      </w:r>
    </w:p>
    <w:p>
      <w:pPr>
        <w:pStyle w:val="Normal"/>
        <w:spacing w:before="28" w:after="28"/>
        <w:rPr/>
      </w:pPr>
      <w:r>
        <w:rPr/>
        <w:t>„</w:t>
      </w:r>
      <w:r>
        <w:rPr/>
        <w:t>Der Rat unterrichtet die Einwohner über die allgemein bedeutsamen Angelegenheiten der Gemeinde. Bei wichtigen Planungen und Vorhaben der Gemeinde, die unmittelbar raum- oder entwicklungsbedeutsam sind oder das wirtschaftliche, soziale oder kulturelle Wohl ihrer Einwohner nachhaltig berühren, sollen die Einwohner möglichst frühzeitig über die Grundlagen sowie Ziele, Zwecke und Auswirkungen unterrichtet werden.“</w:t>
      </w:r>
    </w:p>
    <w:p>
      <w:pPr>
        <w:pStyle w:val="Normal"/>
        <w:spacing w:before="28" w:after="28"/>
        <w:rPr/>
      </w:pPr>
      <w:r>
        <w:rPr/>
      </w:r>
    </w:p>
    <w:p>
      <w:pPr>
        <w:pStyle w:val="Normal"/>
        <w:spacing w:before="28" w:after="28"/>
        <w:rPr/>
      </w:pPr>
      <w:r>
        <w:rPr/>
      </w:r>
    </w:p>
    <w:p>
      <w:pPr>
        <w:pStyle w:val="Normal"/>
        <w:spacing w:before="28" w:after="28"/>
        <w:rPr/>
      </w:pPr>
      <w:r>
        <w:rPr/>
        <w:t>Die geeignete Form der Unterrichtung ist in der heutigen Zeit maschinenlesbar. Für "möglichst frühzeitig" scheint mir eine Frist von zwei Wochen angemessen. Um einen handhabbaren Umgang mit den Datenmengen zu gewährleisten, sind die Haushaltspläne maschinenlesbar zu publizieren, beispielsweise als Tabellendokument oder ggf. einfach als html oder Textfile, jedoch nicht (nur) als ein gescanntes pdf.</w:t>
      </w:r>
    </w:p>
    <w:p>
      <w:pPr>
        <w:pStyle w:val="Normal"/>
        <w:spacing w:before="28" w:after="28"/>
        <w:rPr/>
      </w:pPr>
      <w:r>
        <w:rPr/>
      </w:r>
    </w:p>
    <w:p>
      <w:pPr>
        <w:pStyle w:val="Normal"/>
        <w:spacing w:before="28" w:after="28"/>
        <w:rPr/>
      </w:pPr>
      <w:r>
        <w:rPr/>
        <w:t xml:space="preserve">Da der Haushaltsentwurf und der anschließende Beschluss sich in jedem Fall an der bestehenden Rechtsgrundlage, der Bedarfssituation und der Entscheidungsfreiheit der </w:t>
      </w:r>
      <w:r>
        <w:rPr/>
        <w:t>Ratsmitglieder</w:t>
      </w:r>
      <w:r>
        <w:rPr/>
        <w:t xml:space="preserve"> orientiert, ist eine rechtswidrige oder auch nur kontraproduktive Umgestaltung der Haushaltsansätze durch diese neu geschaffene Transparenz ausgeschlossen. Vielmehr wird einer ungewollten Manipulation der Haushaltszahlen sogar vorgebeugt. Eine Überprüfung der Dokumente auf durchgeführte Änderungen zum vorherigen Ansatz ist jederzeit möglich. Die durch die geforderte Vorveröffentlichung geschaffene Transparenz erleichtert die Kommunikation mit den Bürgern, stärkt den beschlossenen Entwurf und beugt einer der theoretischen Möglichkeit einer tendenziösen Einflussnahme vor.</w:t>
      </w:r>
    </w:p>
    <w:p>
      <w:pPr>
        <w:pStyle w:val="Normal"/>
        <w:spacing w:before="28" w:after="28"/>
        <w:rPr/>
      </w:pPr>
      <w:r>
        <w:rPr/>
      </w:r>
    </w:p>
    <w:p>
      <w:pPr>
        <w:pStyle w:val="Normal"/>
        <w:spacing w:before="28" w:after="28"/>
        <w:rPr/>
      </w:pPr>
      <w:r>
        <w:rPr/>
      </w:r>
    </w:p>
    <w:p>
      <w:pPr>
        <w:pStyle w:val="Normal"/>
        <w:spacing w:before="28" w:after="28"/>
        <w:rPr/>
      </w:pPr>
      <w:r>
        <w:rPr/>
      </w:r>
    </w:p>
    <w:p>
      <w:pPr>
        <w:pStyle w:val="Normal"/>
        <w:spacing w:before="28" w:after="28"/>
        <w:rPr/>
      </w:pPr>
      <w:r>
        <w:rPr/>
        <w:t>Mit freundlichen Grüßen</w:t>
      </w:r>
    </w:p>
    <w:p>
      <w:pPr>
        <w:pStyle w:val="Normal"/>
        <w:spacing w:before="28" w:after="28"/>
        <w:rPr/>
      </w:pPr>
      <w:r>
        <w:rPr/>
      </w:r>
    </w:p>
    <w:p>
      <w:pPr>
        <w:pStyle w:val="Normal"/>
        <w:spacing w:before="28" w:after="28"/>
        <w:rPr/>
      </w:pPr>
      <w:r>
        <w:rPr/>
        <w:t>Martin Kesztyüs</w:t>
      </w:r>
    </w:p>
    <w:sectPr>
      <w:type w:val="nextPage"/>
      <w:pgSz w:w="11906" w:h="16838"/>
      <w:pgMar w:left="1134" w:right="284" w:header="0" w:top="851" w:footer="0" w:bottom="1134" w:gutter="0"/>
      <w:pgNumType w:fmt="decimal"/>
      <w:formProt w:val="false"/>
      <w:textDirection w:val="lrTb"/>
      <w:docGrid w:type="default" w:linePitch="28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tabs>
        <w:tab w:val="left" w:pos="708" w:leader="none"/>
      </w:tabs>
      <w:suppressAutoHyphens w:val="true"/>
      <w:bidi w:val="0"/>
      <w:spacing w:lineRule="atLeast" w:line="100" w:before="0" w:after="0"/>
      <w:jc w:val="left"/>
    </w:pPr>
    <w:rPr>
      <w:rFonts w:ascii="Arial" w:hAnsi="Arial" w:eastAsia="Times New Roman" w:cs="Times New Roman"/>
      <w:color w:val="00000A"/>
      <w:sz w:val="22"/>
      <w:szCs w:val="20"/>
      <w:lang w:val="de-DE" w:eastAsia="de-DE" w:bidi="ar-SA"/>
    </w:rPr>
  </w:style>
  <w:style w:type="paragraph" w:styleId="Berschrift1">
    <w:name w:val="Überschrift 1"/>
    <w:basedOn w:val="Berschrift"/>
    <w:pPr>
      <w:widowControl w:val="false"/>
      <w:suppressAutoHyphens w:val="true"/>
      <w:bidi w:val="0"/>
      <w:jc w:val="left"/>
    </w:pPr>
    <w:rPr>
      <w:rFonts w:ascii="Times New Roman" w:hAnsi="Times New Roman" w:eastAsia="DejaVu Sans" w:cs="DejaVu Sans"/>
      <w:b/>
      <w:bCs/>
      <w:color w:val="00000A"/>
      <w:sz w:val="48"/>
      <w:szCs w:val="48"/>
      <w:lang w:val="de-DE" w:eastAsia="zh-CN" w:bidi="hi-IN"/>
    </w:rPr>
  </w:style>
  <w:style w:type="character" w:styleId="DefaultParagraphFont">
    <w:name w:val="Default Paragraph Font"/>
    <w:rPr/>
  </w:style>
  <w:style w:type="character" w:styleId="Internetlink">
    <w:name w:val="Internetlink"/>
    <w:rPr>
      <w:color w:val="000080"/>
      <w:u w:val="single"/>
      <w:lang w:val="de-DE" w:eastAsia="de-DE" w:bidi="de-DE"/>
    </w:rPr>
  </w:style>
  <w:style w:type="paragraph" w:styleId="Berschrift">
    <w:name w:val="Überschrift"/>
    <w:basedOn w:val="Normal"/>
    <w:next w:val="Textkrper"/>
    <w:pPr>
      <w:keepNext/>
      <w:spacing w:before="240" w:after="120"/>
    </w:pPr>
    <w:rPr>
      <w:rFonts w:ascii="Arial" w:hAnsi="Arial" w:eastAsia="Droid Sans" w:cs="Lohit Hindi"/>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pPr>
      <w:suppressLineNumbers/>
    </w:pPr>
    <w:rPr>
      <w:rFonts w:cs="Lohit Hindi"/>
    </w:rPr>
  </w:style>
  <w:style w:type="paragraph" w:styleId="TextBody">
    <w:name w:val="Text Body"/>
    <w:basedOn w:val="Normal"/>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2014-07-16T15:06:00Z</dcterms:created>
  <dc:creator>Die-Linke-Fraktion</dc:creator>
  <dc:language>de-DE</dc:language>
  <cp:lastModifiedBy>Die-Linke-Fraktion</cp:lastModifiedBy>
  <dcterms:modified xsi:type="dcterms:W3CDTF">2014-07-16T15:07:00Z</dcterms:modified>
  <cp:revision>1</cp:revision>
</cp:coreProperties>
</file>