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287"/>
        <w:tblBorders/>
      </w:tblPr>
      <w:tblGrid>
        <w:gridCol w:w="2551"/>
        <w:gridCol w:w="2551"/>
        <w:gridCol w:w="5102"/>
      </w:tblGrid>
      <w:tr>
        <w:trPr>
          <w:cantSplit w:val="false"/>
        </w:trPr>
        <w:tc>
          <w:tcPr>
            <w:tcW w:type="dxa" w:w="2551"/>
            <w:tcBorders/>
            <w:shd w:fill="FFFFFF" w:val="clear"/>
            <w:tcMar>
              <w:top w:type="dxa" w:w="0"/>
              <w:left w:type="dxa" w:w="108"/>
              <w:bottom w:type="dxa" w:w="0"/>
              <w:right w:type="dxa" w:w="108"/>
            </w:tcMar>
          </w:tcPr>
          <w:p>
            <w:pPr>
              <w:pStyle w:val="style0"/>
            </w:pPr>
            <w:r>
              <w:rPr>
                <w:rFonts w:cs="Arial"/>
                <w:sz w:val="30"/>
              </w:rPr>
              <w:t>Antrag</w:t>
            </w:r>
          </w:p>
        </w:tc>
        <w:tc>
          <w:tcPr>
            <w:tcW w:type="dxa" w:w="2551"/>
            <w:tcBorders/>
            <w:shd w:fill="FFFFFF" w:val="clear"/>
            <w:tcMar>
              <w:top w:type="dxa" w:w="0"/>
              <w:left w:type="dxa" w:w="108"/>
              <w:bottom w:type="dxa" w:w="0"/>
              <w:right w:type="dxa" w:w="108"/>
            </w:tcMar>
          </w:tcPr>
          <w:p>
            <w:pPr>
              <w:pStyle w:val="style0"/>
              <w:spacing w:after="60" w:before="0"/>
            </w:pPr>
            <w:r>
              <w:rPr>
                <w:rFonts w:cs="Arial"/>
                <w:sz w:val="14"/>
              </w:rPr>
              <w:t>Datum</w:t>
            </w:r>
          </w:p>
        </w:tc>
        <w:tc>
          <w:tcPr>
            <w:tcW w:type="dxa" w:w="5102"/>
            <w:gridSpan w:val="2"/>
            <w:tcBorders>
              <w:top w:color="00000A" w:space="0" w:sz="6" w:val="single"/>
              <w:left w:color="00000A" w:space="0" w:sz="6" w:val="single"/>
              <w:righ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Nummer</w:t>
            </w:r>
          </w:p>
        </w:tc>
      </w:tr>
      <w:tr>
        <w:trPr>
          <w:cantSplit w:val="false"/>
        </w:trPr>
        <w:tc>
          <w:tcPr>
            <w:tcW w:type="dxa" w:w="2551"/>
            <w:tcBorders/>
            <w:shd w:fill="FFFFFF" w:val="clear"/>
            <w:tcMar>
              <w:top w:type="dxa" w:w="0"/>
              <w:left w:type="dxa" w:w="108"/>
              <w:bottom w:type="dxa" w:w="0"/>
              <w:right w:type="dxa" w:w="108"/>
            </w:tcMar>
          </w:tcPr>
          <w:p>
            <w:pPr>
              <w:pStyle w:val="style0"/>
            </w:pPr>
            <w:bookmarkStart w:id="0" w:name="AAAVorlage"/>
            <w:bookmarkStart w:id="1" w:name="AAAVorlage"/>
            <w:bookmarkEnd w:id="1"/>
            <w:r>
              <w:rPr/>
            </w:r>
          </w:p>
        </w:tc>
        <w:tc>
          <w:tcPr>
            <w:tcW w:type="dxa" w:w="2551"/>
            <w:tcBorders>
              <w:bottom w:color="00000A" w:space="0" w:sz="6" w:val="single"/>
            </w:tcBorders>
            <w:shd w:fill="FFFFFF" w:val="clear"/>
            <w:tcMar>
              <w:top w:type="dxa" w:w="0"/>
              <w:left w:type="dxa" w:w="108"/>
              <w:bottom w:type="dxa" w:w="0"/>
              <w:right w:type="dxa" w:w="108"/>
            </w:tcMar>
          </w:tcPr>
          <w:p>
            <w:pPr>
              <w:pStyle w:val="style0"/>
            </w:pPr>
            <w:r>
              <w:rPr>
                <w:rFonts w:cs="Arial"/>
                <w:szCs w:val="22"/>
              </w:rPr>
              <w:t>1.9.2014</w:t>
            </w:r>
          </w:p>
        </w:tc>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0002/14</w:t>
            </w:r>
          </w:p>
        </w:tc>
        <w:tc>
          <w:tcPr>
            <w:tcW w:type="dxa" w:w="2551"/>
            <w:tcBorders>
              <w:bottom w:color="00000A" w:space="0" w:sz="6" w:val="single"/>
              <w:right w:color="00000A" w:space="0" w:sz="6" w:val="single"/>
            </w:tcBorders>
            <w:shd w:fill="FFFFFF" w:val="clear"/>
            <w:tcMar>
              <w:top w:type="dxa" w:w="0"/>
              <w:left w:type="dxa" w:w="108"/>
              <w:bottom w:type="dxa" w:w="0"/>
              <w:right w:type="dxa" w:w="108"/>
            </w:tcMar>
          </w:tcPr>
          <w:p>
            <w:pPr>
              <w:pStyle w:val="style0"/>
            </w:pPr>
            <w:bookmarkStart w:id="2" w:name="Nichtöffentlich"/>
            <w:bookmarkEnd w:id="2"/>
            <w:r>
              <w:rPr>
                <w:rFonts w:cs="Arial"/>
                <w:szCs w:val="22"/>
              </w:rPr>
              <w:t xml:space="preserve"> </w:t>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Absender</w:t>
            </w:r>
          </w:p>
        </w:tc>
        <w:tc>
          <w:tcPr>
            <w:tcW w:type="dxa" w:w="7653"/>
            <w:gridSpan w:val="3"/>
            <w:tcBorders>
              <w:top w:color="00000A" w:space="0" w:sz="12" w:val="single"/>
              <w:left w:color="00000A" w:space="0" w:sz="12" w:val="single"/>
              <w:right w:color="00000A" w:space="0" w:sz="12" w:val="single"/>
            </w:tcBorders>
            <w:shd w:fill="FFFFFF" w:val="clear"/>
            <w:tcMar>
              <w:top w:type="dxa" w:w="0"/>
              <w:left w:type="dxa" w:w="108"/>
              <w:bottom w:type="dxa" w:w="0"/>
              <w:right w:type="dxa" w:w="108"/>
            </w:tcMar>
          </w:tcPr>
          <w:p>
            <w:pPr>
              <w:pStyle w:val="style0"/>
            </w:pPr>
            <w:r>
              <w:rPr>
                <w:rFonts w:cs="Arial"/>
                <w:b/>
                <w:color w:val="FF0000"/>
                <w:sz w:val="14"/>
              </w:rPr>
              <w:t>Wird von der Verwaltung ausgefüllt</w:t>
            </w:r>
          </w:p>
          <w:p>
            <w:pPr>
              <w:pStyle w:val="style0"/>
            </w:pPr>
            <w:r>
              <w:rPr>
                <w:rFonts w:cs="Arial"/>
                <w:sz w:val="14"/>
              </w:rPr>
              <w:t>Aufgenommen in d. TO d. Sitzung d. Gremiums</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Ratsherr Martin Kesztyüs</w:t>
            </w:r>
          </w:p>
          <w:p>
            <w:pPr>
              <w:pStyle w:val="style0"/>
            </w:pPr>
            <w:r>
              <w:rPr>
                <w:rFonts w:cs="Arial"/>
                <w:szCs w:val="22"/>
              </w:rPr>
              <w:t>Friesenstr. 12</w:t>
            </w:r>
          </w:p>
          <w:p>
            <w:pPr>
              <w:pStyle w:val="style0"/>
            </w:pPr>
            <w:bookmarkStart w:id="3" w:name="Absender"/>
            <w:r>
              <w:rPr>
                <w:rFonts w:cs="Arial"/>
                <w:szCs w:val="22"/>
              </w:rPr>
              <w:t>5</w:t>
            </w:r>
            <w:bookmarkEnd w:id="3"/>
            <w:r>
              <w:rPr>
                <w:rFonts w:cs="Arial"/>
                <w:szCs w:val="22"/>
              </w:rPr>
              <w:t>9067</w:t>
            </w:r>
          </w:p>
          <w:p>
            <w:pPr>
              <w:pStyle w:val="style0"/>
            </w:pPr>
            <w:r>
              <w:rPr>
                <w:rFonts w:cs="Arial"/>
                <w:szCs w:val="22"/>
              </w:rPr>
              <w:t>Hamm</w:t>
            </w:r>
          </w:p>
        </w:tc>
        <w:tc>
          <w:tcPr>
            <w:tcW w:type="dxa" w:w="7653"/>
            <w:gridSpan w:val="3"/>
            <w:tcBorders>
              <w:left w:color="00000A" w:space="0" w:sz="12" w:val="single"/>
              <w:right w:color="00000A" w:space="0" w:sz="12" w:val="single"/>
            </w:tcBorders>
            <w:shd w:fill="FFFFFF" w:val="clear"/>
            <w:tcMar>
              <w:top w:type="dxa" w:w="0"/>
              <w:left w:type="dxa" w:w="108"/>
              <w:bottom w:type="dxa" w:w="0"/>
              <w:right w:type="dxa" w:w="108"/>
            </w:tcMar>
          </w:tcPr>
          <w:p>
            <w:pPr>
              <w:pStyle w:val="style0"/>
            </w:pPr>
            <w:bookmarkStart w:id="4" w:name="Datum"/>
            <w:bookmarkStart w:id="5" w:name="BeschlußorganVW"/>
            <w:bookmarkStart w:id="6" w:name="Datum"/>
            <w:bookmarkStart w:id="7" w:name="BeschlußorganVW"/>
            <w:bookmarkEnd w:id="6"/>
            <w:bookmarkEnd w:id="7"/>
            <w:r>
              <w:rPr/>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Adressat</w:t>
            </w:r>
          </w:p>
        </w:tc>
        <w:tc>
          <w:tcPr>
            <w:tcW w:type="dxa" w:w="7653"/>
            <w:gridSpan w:val="3"/>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am</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Herrn Oberbürgermeister Thomas Hunsteger-Petermann</w:t>
            </w:r>
          </w:p>
          <w:p>
            <w:pPr>
              <w:pStyle w:val="style0"/>
            </w:pPr>
            <w:r>
              <w:rPr>
                <w:rFonts w:cs="Arial"/>
                <w:szCs w:val="22"/>
              </w:rPr>
              <w:t xml:space="preserve">Theodor-Heuss-Platz 16 </w:t>
            </w:r>
          </w:p>
          <w:p>
            <w:pPr>
              <w:pStyle w:val="style0"/>
            </w:pPr>
            <w:bookmarkStart w:id="8" w:name="Adressat"/>
            <w:bookmarkEnd w:id="8"/>
            <w:r>
              <w:rPr>
                <w:rFonts w:cs="Arial"/>
                <w:szCs w:val="22"/>
              </w:rPr>
              <w:t>59065 Hamm</w:t>
            </w:r>
          </w:p>
        </w:tc>
        <w:tc>
          <w:tcPr>
            <w:tcW w:type="dxa" w:w="7653"/>
            <w:gridSpan w:val="3"/>
            <w:tcBorders>
              <w:left w:color="00000A" w:space="0" w:sz="12" w:val="single"/>
              <w:bottom w:color="00000A" w:space="0" w:sz="6" w:val="single"/>
              <w:right w:color="00000A" w:space="0" w:sz="12" w:val="single"/>
            </w:tcBorders>
            <w:shd w:fill="FFFFFF" w:val="clear"/>
            <w:tcMar>
              <w:top w:type="dxa" w:w="0"/>
              <w:left w:type="dxa" w:w="108"/>
              <w:bottom w:type="dxa" w:w="0"/>
              <w:right w:type="dxa" w:w="108"/>
            </w:tcMar>
          </w:tcPr>
          <w:p>
            <w:pPr>
              <w:pStyle w:val="style0"/>
            </w:pPr>
            <w:bookmarkStart w:id="9" w:name="Genehmigung"/>
            <w:bookmarkStart w:id="10" w:name="BeschlußorganTerminVW"/>
            <w:bookmarkStart w:id="11" w:name="Genehmigung"/>
            <w:bookmarkStart w:id="12" w:name="BeschlußorganTerminVW"/>
            <w:bookmarkEnd w:id="11"/>
            <w:bookmarkEnd w:id="12"/>
            <w:r>
              <w:rPr/>
            </w:r>
          </w:p>
        </w:tc>
      </w:tr>
      <w:tr>
        <w:trPr>
          <w:cantSplit w:val="false"/>
        </w:trPr>
        <w:tc>
          <w:tcPr>
            <w:tcW w:type="dxa" w:w="2551"/>
            <w:tcBorders>
              <w:top w:color="00000A" w:space="0" w:sz="6" w:val="single"/>
              <w:left w:color="00000A" w:space="0" w:sz="6" w:val="single"/>
              <w:righ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Gremium</w:t>
            </w:r>
          </w:p>
        </w:tc>
        <w:tc>
          <w:tcPr>
            <w:tcW w:type="dxa" w:w="2551"/>
            <w:tcBorders>
              <w:top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Sitzungstermin</w:t>
            </w:r>
          </w:p>
        </w:tc>
        <w:tc>
          <w:tcPr>
            <w:tcW w:type="dxa" w:w="5102"/>
            <w:gridSpan w:val="2"/>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Federführender Dezernent</w:t>
            </w:r>
          </w:p>
        </w:tc>
      </w:tr>
      <w:tr>
        <w:trPr>
          <w:cantSplit w:val="false"/>
        </w:trPr>
        <w:tc>
          <w:tcPr>
            <w:tcW w:type="dxa" w:w="2551"/>
            <w:tcBorders>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bookmarkStart w:id="13" w:name="Beschlußorgan"/>
            <w:bookmarkEnd w:id="13"/>
            <w:r>
              <w:rPr>
                <w:rFonts w:cs="Arial"/>
                <w:szCs w:val="22"/>
              </w:rPr>
              <w:t>Rat</w:t>
            </w:r>
          </w:p>
        </w:tc>
        <w:tc>
          <w:tcPr>
            <w:tcW w:type="dxa" w:w="2551"/>
            <w:tcBorders>
              <w:bottom w:color="00000A" w:space="0" w:sz="6" w:val="single"/>
            </w:tcBorders>
            <w:shd w:fill="FFFFFF" w:val="clear"/>
            <w:tcMar>
              <w:top w:type="dxa" w:w="0"/>
              <w:left w:type="dxa" w:w="108"/>
              <w:bottom w:type="dxa" w:w="0"/>
              <w:right w:type="dxa" w:w="108"/>
            </w:tcMar>
          </w:tcPr>
          <w:p>
            <w:pPr>
              <w:pStyle w:val="style0"/>
            </w:pPr>
            <w:bookmarkStart w:id="14" w:name="BeschlußorganTermin"/>
            <w:bookmarkEnd w:id="14"/>
            <w:r>
              <w:rPr>
                <w:rFonts w:cs="Arial"/>
                <w:szCs w:val="22"/>
              </w:rPr>
              <w:t>16.09.2014 16:00</w:t>
            </w:r>
          </w:p>
        </w:tc>
        <w:tc>
          <w:tcPr>
            <w:tcW w:type="dxa" w:w="5102"/>
            <w:gridSpan w:val="2"/>
            <w:tcBorders>
              <w:left w:color="00000A" w:space="0" w:sz="12" w:val="single"/>
              <w:right w:color="00000A" w:space="0" w:sz="12" w:val="single"/>
            </w:tcBorders>
            <w:shd w:fill="FFFFFF" w:val="clear"/>
            <w:tcMar>
              <w:top w:type="dxa" w:w="0"/>
              <w:left w:type="dxa" w:w="108"/>
              <w:bottom w:type="dxa" w:w="0"/>
              <w:right w:type="dxa" w:w="108"/>
            </w:tcMar>
          </w:tcPr>
          <w:p>
            <w:pPr>
              <w:pStyle w:val="style0"/>
            </w:pPr>
            <w:bookmarkStart w:id="15" w:name="FDezernent"/>
            <w:bookmarkStart w:id="16" w:name="FDezernent"/>
            <w:bookmarkEnd w:id="16"/>
            <w:r>
              <w:rPr/>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Betreff</w:t>
            </w:r>
          </w:p>
        </w:tc>
        <w:tc>
          <w:tcPr>
            <w:tcW w:type="dxa" w:w="7653"/>
            <w:gridSpan w:val="3"/>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Beteiligte Dezernenten</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 w:val="24"/>
                <w:szCs w:val="24"/>
              </w:rPr>
              <w:t xml:space="preserve">Mittel für Geschäftsführung und Bildung </w:t>
            </w:r>
          </w:p>
          <w:p>
            <w:pPr>
              <w:pStyle w:val="style0"/>
            </w:pPr>
            <w:r>
              <w:rPr/>
            </w:r>
          </w:p>
          <w:p>
            <w:pPr>
              <w:pStyle w:val="style0"/>
            </w:pPr>
            <w:r>
              <w:rPr/>
            </w:r>
          </w:p>
        </w:tc>
        <w:tc>
          <w:tcPr>
            <w:tcW w:type="dxa" w:w="7653"/>
            <w:gridSpan w:val="3"/>
            <w:tcBorders>
              <w:left w:color="00000A" w:space="0" w:sz="12" w:val="single"/>
              <w:bottom w:color="00000A" w:space="0" w:sz="12" w:val="single"/>
              <w:right w:color="00000A" w:space="0" w:sz="12" w:val="single"/>
            </w:tcBorders>
            <w:shd w:fill="FFFFFF" w:val="clear"/>
            <w:tcMar>
              <w:top w:type="dxa" w:w="0"/>
              <w:left w:type="dxa" w:w="108"/>
              <w:bottom w:type="dxa" w:w="0"/>
              <w:right w:type="dxa" w:w="108"/>
            </w:tcMar>
          </w:tcPr>
          <w:p>
            <w:pPr>
              <w:pStyle w:val="style0"/>
            </w:pPr>
            <w:bookmarkStart w:id="17" w:name="BDezernent"/>
            <w:bookmarkStart w:id="18" w:name="BDezernent"/>
            <w:bookmarkEnd w:id="18"/>
            <w:r>
              <w:rPr/>
            </w:r>
          </w:p>
        </w:tc>
      </w:tr>
    </w:tbl>
    <w:p>
      <w:pPr>
        <w:pStyle w:val="style0"/>
        <w:ind w:hanging="0" w:left="0" w:right="283"/>
      </w:pPr>
      <w:r>
        <w:rPr/>
      </w:r>
    </w:p>
    <w:p>
      <w:pPr>
        <w:pStyle w:val="style0"/>
      </w:pPr>
      <w:r>
        <w:rPr/>
      </w:r>
    </w:p>
    <w:p>
      <w:pPr>
        <w:pStyle w:val="style0"/>
      </w:pPr>
      <w:r>
        <w:rPr>
          <w:rFonts w:cs="Arial"/>
          <w:b/>
          <w:bCs/>
          <w:sz w:val="30"/>
          <w:szCs w:val="30"/>
        </w:rPr>
        <w:t>Mittel für den Ratsherren Martin Kesztyüs</w:t>
      </w:r>
    </w:p>
    <w:p>
      <w:pPr>
        <w:pStyle w:val="style0"/>
      </w:pPr>
      <w:r>
        <w:rPr>
          <w:b/>
          <w:bCs/>
          <w:sz w:val="30"/>
          <w:szCs w:val="30"/>
        </w:rPr>
      </w:r>
    </w:p>
    <w:p>
      <w:pPr>
        <w:pStyle w:val="style0"/>
      </w:pPr>
      <w:r>
        <w:rPr>
          <w:b/>
          <w:bCs/>
          <w:sz w:val="30"/>
          <w:szCs w:val="30"/>
        </w:rPr>
      </w:r>
    </w:p>
    <w:p>
      <w:pPr>
        <w:pStyle w:val="style0"/>
      </w:pPr>
      <w:r>
        <w:rPr>
          <w:rFonts w:cs="Arial"/>
          <w:b w:val="false"/>
          <w:bCs w:val="false"/>
          <w:sz w:val="22"/>
          <w:szCs w:val="22"/>
        </w:rPr>
        <w:t>Sehr geehrter Herr Oberbürgermeister,</w:t>
      </w:r>
    </w:p>
    <w:p>
      <w:pPr>
        <w:pStyle w:val="style0"/>
      </w:pPr>
      <w:r>
        <w:rPr>
          <w:b w:val="false"/>
          <w:bCs w:val="false"/>
          <w:sz w:val="22"/>
          <w:szCs w:val="22"/>
        </w:rPr>
      </w:r>
    </w:p>
    <w:p>
      <w:pPr>
        <w:pStyle w:val="style0"/>
      </w:pPr>
      <w:r>
        <w:rPr>
          <w:rFonts w:cs="Arial"/>
          <w:b w:val="false"/>
          <w:bCs w:val="false"/>
          <w:sz w:val="22"/>
          <w:szCs w:val="22"/>
        </w:rPr>
        <w:t>der Rats-Pirat Martin Kesztyüs beantragt:</w:t>
      </w:r>
    </w:p>
    <w:p>
      <w:pPr>
        <w:pStyle w:val="style0"/>
      </w:pPr>
      <w:r>
        <w:rPr>
          <w:b w:val="false"/>
          <w:bCs w:val="false"/>
          <w:sz w:val="22"/>
          <w:szCs w:val="22"/>
        </w:rPr>
      </w:r>
    </w:p>
    <w:p>
      <w:pPr>
        <w:pStyle w:val="style0"/>
      </w:pPr>
      <w:r>
        <w:rPr>
          <w:rFonts w:cs="Arial"/>
          <w:b w:val="false"/>
          <w:bCs w:val="false"/>
          <w:sz w:val="22"/>
          <w:szCs w:val="22"/>
        </w:rPr>
        <w:t>Der Rat beschließt, dem Ratsherren der Piratenpartei finanzielle Zuwendungen zur Weiterbildung und zur Geschäftsführung aus den Haushaltsmitteln der Stadt zu gewähren, die der Hälfte des Betrages, den eine Gruppe im Rat erhält, entspricht.</w:t>
      </w:r>
    </w:p>
    <w:p>
      <w:pPr>
        <w:pStyle w:val="style0"/>
      </w:pPr>
      <w:r>
        <w:rPr>
          <w:b w:val="false"/>
          <w:bCs w:val="false"/>
          <w:sz w:val="22"/>
          <w:szCs w:val="22"/>
        </w:rPr>
      </w:r>
    </w:p>
    <w:p>
      <w:pPr>
        <w:pStyle w:val="style0"/>
      </w:pPr>
      <w:r>
        <w:rPr>
          <w:rFonts w:cs="Arial"/>
          <w:b w:val="false"/>
          <w:bCs w:val="false"/>
          <w:sz w:val="22"/>
          <w:szCs w:val="22"/>
        </w:rPr>
        <w:br/>
        <w:t>Begründung:</w:t>
      </w:r>
    </w:p>
    <w:p>
      <w:pPr>
        <w:pStyle w:val="style0"/>
      </w:pPr>
      <w:r>
        <w:rPr>
          <w:rFonts w:cs="Arial"/>
          <w:b w:val="false"/>
          <w:bCs w:val="false"/>
          <w:sz w:val="22"/>
          <w:szCs w:val="22"/>
        </w:rPr>
        <w:t xml:space="preserve">§56  Abs.3 S.5 u. 6 GO NRW besagen, dass die Gemeinde einem Ratsmitglied, </w:t>
      </w:r>
      <w:r>
        <w:rPr>
          <w:rFonts w:cs="Arial"/>
        </w:rPr>
        <w:t>das keiner Fraktion oder Gruppe angehört, in angemessenem Umfang Sachmittel und Kommunikationsmittel zum Zwecke seiner Vorbereitung auf die Ratssitzung zur Verfügung zu stellen hat. Der Rat kann stattdessen beschließen, dass ein Ratsmitglied aus Haushaltsmitteln finanzielle Zuwendungen erhält, die die Hälfte des Betrages nicht übersteigen dürfen, die eine Gruppe mit zwei Mitgliedern erhielte.</w:t>
      </w:r>
    </w:p>
    <w:p>
      <w:pPr>
        <w:pStyle w:val="style0"/>
      </w:pPr>
      <w:r>
        <w:rPr/>
      </w:r>
    </w:p>
    <w:p>
      <w:pPr>
        <w:pStyle w:val="style0"/>
      </w:pPr>
      <w:r>
        <w:rPr>
          <w:rFonts w:cs="Arial"/>
        </w:rPr>
        <w:t>Da der Ratsherr Martin Kesztyüs bisher lediglich ein Kombigerät bestehend aus Drucker- und Scannergerät erhalten hat, und die Verwaltung sich weigert, ihm weitere Mittel zur Verfügung zu stellen, erhält er derzeit nicht in angemessenem Umfang Sachmittel und Kommunikationsmittel zur Vorbereitung auf die Ratssitzungen. Auch eine angemessene Weiterbildung wird ihm verwehrt. Dies ist in Anbetracht der komplexen Materie der Ratsarbeit inakzeptabel und kontraproduktiv für eine konstruktive Ratsarbeit.</w:t>
      </w:r>
    </w:p>
    <w:p>
      <w:pPr>
        <w:pStyle w:val="style0"/>
      </w:pPr>
      <w:r>
        <w:rPr/>
      </w:r>
    </w:p>
    <w:p>
      <w:pPr>
        <w:pStyle w:val="style0"/>
      </w:pPr>
      <w:r>
        <w:rPr>
          <w:rFonts w:cs="Arial"/>
        </w:rPr>
        <w:t xml:space="preserve">Die Gruppen erhalten 201 € monatlich pro Ratsmitglied. Für die Bildungsarbeit erhalten sie 832 € je Ratsmitglied pro Jahr. Soweit Herr Kesztyüs richtig informiert ist, erhalten sie zusätzlich Mittel wie Räume und technisches Gerät und eine Pauschale für die Telekommunikation. Hinzu kommt außerdem noch die Bezahlung einer 2/3 Stelle für die Geschäftsführung auf Grundlage einer TvÖD 9 Stelle. Die Ausgaben dafür belaufen sich auf 1667,25€ brutto monatlich. </w:t>
      </w:r>
      <w:r>
        <w:rPr>
          <w:rStyle w:val="style18"/>
          <w:rFonts w:cs="Arial"/>
        </w:rPr>
        <w:footnoteReference w:id="2"/>
      </w:r>
    </w:p>
    <w:p>
      <w:pPr>
        <w:pStyle w:val="style0"/>
      </w:pPr>
      <w:r>
        <w:rPr/>
      </w:r>
    </w:p>
    <w:p>
      <w:pPr>
        <w:pStyle w:val="style0"/>
      </w:pPr>
      <w:r>
        <w:rPr>
          <w:rFonts w:cs="Arial"/>
        </w:rPr>
        <w:t xml:space="preserve">Die Beträge addieren sich zu ca.320€ zzgl. 1667,25€ monatlich plus die einmaligen Leistungen wie Räume, technisches Gerät. Dem stehen keine wiederkehrenden Leistungen und die einmalige Leistung des Kombigeräts gegenüber, welches der Ratsherr Kesztyüs erhalten hat. </w:t>
      </w:r>
    </w:p>
    <w:p>
      <w:pPr>
        <w:pStyle w:val="style0"/>
      </w:pPr>
      <w:r>
        <w:rPr>
          <w:rFonts w:cs="Arial"/>
        </w:rPr>
        <w:t>Da das Einzelratsmitglied Martin Kesztyüs lediglich den Scanner erhalten hat und keinerlei laufende Leistungen zugestanden bekommt, sind die Gruppen also um ein vielfaches besser gestellt als das Einzelratsmitglied Martin Kesztyüs. Dies ist daher mit dem Ziel einer produktiven Ratsarbeit auszugleichen.</w:t>
      </w:r>
    </w:p>
    <w:p>
      <w:pPr>
        <w:pStyle w:val="style0"/>
      </w:pPr>
      <w:r>
        <w:rPr/>
      </w:r>
    </w:p>
    <w:p>
      <w:pPr>
        <w:pStyle w:val="style0"/>
      </w:pPr>
      <w:r>
        <w:rPr>
          <w:rFonts w:cs="Arial"/>
        </w:rPr>
        <w:t>Mit freundlichen Grüßen</w:t>
      </w:r>
    </w:p>
    <w:p>
      <w:pPr>
        <w:pStyle w:val="style0"/>
      </w:pPr>
      <w:r>
        <w:rPr/>
      </w:r>
    </w:p>
    <w:p>
      <w:pPr>
        <w:pStyle w:val="style0"/>
      </w:pPr>
      <w:r>
        <w:rPr>
          <w:rFonts w:cs="Arial"/>
        </w:rPr>
        <w:t>Martin Kesztyüs</w:t>
      </w:r>
    </w:p>
    <w:sectPr>
      <w:footnotePr>
        <w:numFmt w:val="decimal"/>
      </w:footnotePr>
      <w:type w:val="nextPage"/>
      <w:pgSz w:h="16838" w:w="11906"/>
      <w:pgMar w:bottom="1134" w:footer="0" w:gutter="0" w:header="0" w:left="1134" w:right="284" w:top="851"/>
      <w:pgNumType w:fmt="decimal"/>
      <w:formProt w:val="false"/>
      <w:textDirection w:val="lrTb"/>
      <w:docGrid w:charSpace="12288" w:linePitch="2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6"/>
      </w:pPr>
      <w:hyperlink r:id="rId1" w:tgtFrame="_blank">
        <w:r>
          <w:rPr>
            <w:rStyle w:val="style16"/>
          </w:rPr>
          <w:footnoteRef/>
          <w:tab/>
          <w:t>http://www.pirat.ly/pfj44</w:t>
        </w:r>
      </w:hyperlink>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0" w:before="0" w:line="100" w:lineRule="atLeast"/>
    </w:pPr>
    <w:rPr>
      <w:rFonts w:ascii="Arial" w:cs="Times New Roman" w:eastAsia="Times New Roman" w:hAnsi="Arial"/>
      <w:color w:val="00000A"/>
      <w:sz w:val="22"/>
      <w:szCs w:val="20"/>
      <w:lang w:bidi="ar-SA" w:eastAsia="de-DE" w:val="de-DE"/>
    </w:rPr>
  </w:style>
  <w:style w:styleId="style1" w:type="paragraph">
    <w:name w:val="Überschrift 1"/>
    <w:basedOn w:val="style21"/>
    <w:next w:val="style22"/>
    <w:pPr>
      <w:numPr>
        <w:ilvl w:val="0"/>
        <w:numId w:val="1"/>
      </w:numPr>
      <w:outlineLvl w:val="0"/>
    </w:pPr>
    <w:rPr>
      <w:rFonts w:ascii="Times New Roman" w:cs="DejaVu Sans" w:eastAsia="DejaVu Sans" w:hAnsi="Times New Roman"/>
      <w:b/>
      <w:bCs/>
      <w:sz w:val="48"/>
      <w:szCs w:val="48"/>
    </w:rPr>
  </w:style>
  <w:style w:styleId="style15" w:type="character">
    <w:name w:val="Default Paragraph Font"/>
    <w:next w:val="style15"/>
    <w:rPr/>
  </w:style>
  <w:style w:styleId="style16" w:type="character">
    <w:name w:val="Internetlink"/>
    <w:next w:val="style16"/>
    <w:rPr>
      <w:color w:val="000080"/>
      <w:u w:val="single"/>
      <w:lang w:bidi="de-DE" w:eastAsia="de-DE" w:val="de-DE"/>
    </w:rPr>
  </w:style>
  <w:style w:styleId="style17" w:type="character">
    <w:name w:val="Fußnotenzeichen"/>
    <w:next w:val="style17"/>
    <w:rPr/>
  </w:style>
  <w:style w:styleId="style18" w:type="character">
    <w:name w:val="Fußnotenanker"/>
    <w:next w:val="style18"/>
    <w:rPr>
      <w:vertAlign w:val="superscript"/>
    </w:rPr>
  </w:style>
  <w:style w:styleId="style19" w:type="character">
    <w:name w:val="Endnotenanker"/>
    <w:next w:val="style19"/>
    <w:rPr>
      <w:vertAlign w:val="superscript"/>
    </w:rPr>
  </w:style>
  <w:style w:styleId="style20" w:type="character">
    <w:name w:val="Endnotenzeichen"/>
    <w:next w:val="style20"/>
    <w:rPr/>
  </w:style>
  <w:style w:styleId="style21" w:type="paragraph">
    <w:name w:val="Überschrift"/>
    <w:basedOn w:val="style0"/>
    <w:next w:val="style22"/>
    <w:pPr>
      <w:keepNext/>
      <w:spacing w:after="120" w:before="240"/>
    </w:pPr>
    <w:rPr>
      <w:rFonts w:ascii="Arial" w:cs="Lohit Hindi" w:eastAsia="Droid Sans" w:hAnsi="Arial"/>
      <w:sz w:val="28"/>
      <w:szCs w:val="28"/>
    </w:rPr>
  </w:style>
  <w:style w:styleId="style22" w:type="paragraph">
    <w:name w:val="Textkörper"/>
    <w:basedOn w:val="style0"/>
    <w:next w:val="style22"/>
    <w:pPr>
      <w:spacing w:after="120" w:before="0"/>
    </w:pPr>
    <w:rPr/>
  </w:style>
  <w:style w:styleId="style23" w:type="paragraph">
    <w:name w:val="Liste"/>
    <w:basedOn w:val="style22"/>
    <w:next w:val="style23"/>
    <w:pPr/>
    <w:rPr>
      <w:rFonts w:cs="Lohit Hindi"/>
    </w:rPr>
  </w:style>
  <w:style w:styleId="style24" w:type="paragraph">
    <w:name w:val="Beschriftung"/>
    <w:basedOn w:val="style0"/>
    <w:next w:val="style24"/>
    <w:pPr>
      <w:suppressLineNumbers/>
      <w:spacing w:after="120" w:before="120"/>
    </w:pPr>
    <w:rPr>
      <w:rFonts w:cs="Lohit Hindi"/>
      <w:i/>
      <w:iCs/>
      <w:sz w:val="24"/>
      <w:szCs w:val="24"/>
    </w:rPr>
  </w:style>
  <w:style w:styleId="style25" w:type="paragraph">
    <w:name w:val="Verzeichnis"/>
    <w:basedOn w:val="style0"/>
    <w:next w:val="style25"/>
    <w:pPr>
      <w:suppressLineNumbers/>
    </w:pPr>
    <w:rPr>
      <w:rFonts w:cs="Lohit Hindi"/>
    </w:rPr>
  </w:style>
  <w:style w:styleId="style26" w:type="paragraph">
    <w:name w:val="Fußnote"/>
    <w:basedOn w:val="style0"/>
    <w:next w:val="style26"/>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pirat.ly/pfj44" TargetMode="Externa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2014-07-16T15:06:00.00Z</dcterms:created>
  <dc:creator>Die-Linke-Fraktion</dc:creator>
  <cp:lastModifiedBy>Die-Linke-Fraktion</cp:lastModifiedBy>
  <dcterms:modified xsi:type="dcterms:W3CDTF">2014-07-16T15:07:00.00Z</dcterms:modified>
  <cp:revision>1</cp:revision>
</cp:coreProperties>
</file>